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58" w:rsidRDefault="00D44858" w:rsidP="00C17D21">
      <w:pPr>
        <w:spacing w:after="0" w:line="36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по результатам </w:t>
      </w:r>
      <w:proofErr w:type="gramStart"/>
      <w:r>
        <w:rPr>
          <w:rFonts w:ascii="Times New Roman" w:hAnsi="Times New Roman"/>
          <w:b/>
          <w:sz w:val="28"/>
          <w:szCs w:val="28"/>
        </w:rPr>
        <w:t>исследования причин нестабильных образовательных результатов общеобразовательных организаций Нижегородской области</w:t>
      </w:r>
      <w:proofErr w:type="gramEnd"/>
    </w:p>
    <w:p w:rsidR="00D44858" w:rsidRPr="00A37860" w:rsidRDefault="00D44858" w:rsidP="00C17D21">
      <w:pPr>
        <w:spacing w:after="0" w:line="36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t xml:space="preserve">Актуальность исследования обусловлена </w:t>
      </w:r>
      <w:r>
        <w:rPr>
          <w:rFonts w:ascii="Times New Roman" w:hAnsi="Times New Roman"/>
          <w:sz w:val="28"/>
          <w:szCs w:val="28"/>
        </w:rPr>
        <w:t xml:space="preserve">тем, что по результатам ЕГЭ в Нижегородской области выделяются  </w:t>
      </w:r>
      <w:r w:rsidRPr="00C41A2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</w:t>
      </w:r>
      <w:r w:rsidRPr="00C41A2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, обучающиеся которой демонстрируют</w:t>
      </w:r>
      <w:r w:rsidRPr="00C41A2A">
        <w:rPr>
          <w:rFonts w:ascii="Times New Roman" w:hAnsi="Times New Roman"/>
          <w:sz w:val="28"/>
          <w:szCs w:val="28"/>
        </w:rPr>
        <w:t xml:space="preserve"> устойчиво низки</w:t>
      </w:r>
      <w:r>
        <w:rPr>
          <w:rFonts w:ascii="Times New Roman" w:hAnsi="Times New Roman"/>
          <w:sz w:val="28"/>
          <w:szCs w:val="28"/>
        </w:rPr>
        <w:t xml:space="preserve">е образовательные результаты. </w:t>
      </w:r>
      <w:r w:rsidRPr="008B5F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мировой педагогической практике</w:t>
      </w:r>
      <w:r w:rsidRPr="008B5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считается, что </w:t>
      </w:r>
      <w:r w:rsidRPr="008B5F90">
        <w:rPr>
          <w:rFonts w:ascii="Times New Roman" w:hAnsi="Times New Roman"/>
          <w:sz w:val="28"/>
          <w:szCs w:val="28"/>
        </w:rPr>
        <w:t xml:space="preserve">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90">
        <w:rPr>
          <w:rFonts w:ascii="Times New Roman" w:hAnsi="Times New Roman"/>
          <w:sz w:val="28"/>
          <w:szCs w:val="28"/>
        </w:rPr>
        <w:t xml:space="preserve">работы школы </w:t>
      </w:r>
      <w:r>
        <w:rPr>
          <w:rFonts w:ascii="Times New Roman" w:hAnsi="Times New Roman"/>
          <w:sz w:val="28"/>
          <w:szCs w:val="28"/>
        </w:rPr>
        <w:t>состоит в ее</w:t>
      </w:r>
      <w:r w:rsidRPr="008B5F90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</w:t>
      </w:r>
      <w:r w:rsidRPr="008B5F90">
        <w:rPr>
          <w:rFonts w:ascii="Times New Roman" w:hAnsi="Times New Roman"/>
          <w:sz w:val="28"/>
          <w:szCs w:val="28"/>
        </w:rPr>
        <w:t xml:space="preserve"> повышать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90">
        <w:rPr>
          <w:rFonts w:ascii="Times New Roman" w:hAnsi="Times New Roman"/>
          <w:sz w:val="28"/>
          <w:szCs w:val="28"/>
        </w:rPr>
        <w:t>жизненные шансы каждого ученика независимо от индивидуальных стартовых возможностей и семейного контекста</w:t>
      </w:r>
      <w:r>
        <w:rPr>
          <w:rFonts w:ascii="Times New Roman" w:hAnsi="Times New Roman"/>
          <w:sz w:val="28"/>
          <w:szCs w:val="28"/>
        </w:rPr>
        <w:t>, т.е. в ее способности играть</w:t>
      </w:r>
      <w:r w:rsidRPr="008B5F90">
        <w:rPr>
          <w:rFonts w:ascii="Times New Roman" w:hAnsi="Times New Roman"/>
          <w:sz w:val="28"/>
          <w:szCs w:val="28"/>
        </w:rPr>
        <w:t xml:space="preserve">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90">
        <w:rPr>
          <w:rFonts w:ascii="Times New Roman" w:hAnsi="Times New Roman"/>
          <w:sz w:val="28"/>
          <w:szCs w:val="28"/>
        </w:rPr>
        <w:t>социального лифта.</w:t>
      </w:r>
      <w:r>
        <w:rPr>
          <w:rFonts w:ascii="Times New Roman" w:hAnsi="Times New Roman"/>
          <w:sz w:val="28"/>
          <w:szCs w:val="28"/>
        </w:rPr>
        <w:t xml:space="preserve"> Многие  ученые и педагоги-практики считают </w:t>
      </w:r>
      <w:r w:rsidRPr="008B5F90">
        <w:rPr>
          <w:rFonts w:ascii="Times New Roman" w:hAnsi="Times New Roman"/>
          <w:sz w:val="28"/>
          <w:szCs w:val="28"/>
        </w:rPr>
        <w:t>ведущими факторами, определяющими достижения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90">
        <w:rPr>
          <w:rFonts w:ascii="Times New Roman" w:hAnsi="Times New Roman"/>
          <w:sz w:val="28"/>
          <w:szCs w:val="28"/>
        </w:rPr>
        <w:t>и, как следствие, его дальнейшую образовательную и жизненную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90">
        <w:rPr>
          <w:rFonts w:ascii="Times New Roman" w:hAnsi="Times New Roman"/>
          <w:sz w:val="28"/>
          <w:szCs w:val="28"/>
        </w:rPr>
        <w:t xml:space="preserve">траекторию </w:t>
      </w:r>
      <w:r>
        <w:rPr>
          <w:rFonts w:ascii="Times New Roman" w:hAnsi="Times New Roman"/>
          <w:sz w:val="28"/>
          <w:szCs w:val="28"/>
        </w:rPr>
        <w:t>соци</w:t>
      </w:r>
      <w:r w:rsidRPr="008B5F90">
        <w:rPr>
          <w:rFonts w:ascii="Times New Roman" w:hAnsi="Times New Roman"/>
          <w:sz w:val="28"/>
          <w:szCs w:val="28"/>
        </w:rPr>
        <w:t xml:space="preserve">ально-экономическое положение </w:t>
      </w:r>
      <w:r>
        <w:rPr>
          <w:rFonts w:ascii="Times New Roman" w:hAnsi="Times New Roman"/>
          <w:sz w:val="28"/>
          <w:szCs w:val="28"/>
        </w:rPr>
        <w:t xml:space="preserve">семьи и </w:t>
      </w:r>
      <w:r w:rsidRPr="008B5F90">
        <w:rPr>
          <w:rFonts w:ascii="Times New Roman" w:hAnsi="Times New Roman"/>
          <w:sz w:val="28"/>
          <w:szCs w:val="28"/>
        </w:rPr>
        <w:t xml:space="preserve"> образование родителей.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515C">
        <w:rPr>
          <w:rFonts w:ascii="Times New Roman" w:hAnsi="Times New Roman"/>
          <w:sz w:val="28"/>
          <w:szCs w:val="28"/>
        </w:rPr>
        <w:t xml:space="preserve">сследование социального состава и культурного потенциала </w:t>
      </w:r>
      <w:proofErr w:type="gramStart"/>
      <w:r w:rsidRPr="0023515C">
        <w:rPr>
          <w:rFonts w:ascii="Times New Roman" w:hAnsi="Times New Roman"/>
          <w:sz w:val="28"/>
          <w:szCs w:val="28"/>
        </w:rPr>
        <w:t xml:space="preserve">семей детей, обучающихся в </w:t>
      </w:r>
      <w:r>
        <w:rPr>
          <w:rFonts w:ascii="Times New Roman" w:hAnsi="Times New Roman"/>
          <w:sz w:val="28"/>
          <w:szCs w:val="28"/>
        </w:rPr>
        <w:t>таких</w:t>
      </w:r>
      <w:r w:rsidRPr="0023515C">
        <w:rPr>
          <w:rFonts w:ascii="Times New Roman" w:hAnsi="Times New Roman"/>
          <w:sz w:val="28"/>
          <w:szCs w:val="28"/>
        </w:rPr>
        <w:t xml:space="preserve"> школах</w:t>
      </w:r>
      <w:r>
        <w:rPr>
          <w:rFonts w:ascii="Times New Roman" w:hAnsi="Times New Roman"/>
          <w:sz w:val="28"/>
          <w:szCs w:val="28"/>
        </w:rPr>
        <w:t xml:space="preserve"> показывает</w:t>
      </w:r>
      <w:proofErr w:type="gramEnd"/>
      <w:r w:rsidRPr="0023515C">
        <w:rPr>
          <w:rFonts w:ascii="Times New Roman" w:hAnsi="Times New Roman"/>
          <w:sz w:val="28"/>
          <w:szCs w:val="28"/>
        </w:rPr>
        <w:t xml:space="preserve">, что в </w:t>
      </w:r>
      <w:r>
        <w:rPr>
          <w:rFonts w:ascii="Times New Roman" w:hAnsi="Times New Roman"/>
          <w:sz w:val="28"/>
          <w:szCs w:val="28"/>
        </w:rPr>
        <w:t>них</w:t>
      </w:r>
      <w:r w:rsidRPr="0023515C">
        <w:rPr>
          <w:rFonts w:ascii="Times New Roman" w:hAnsi="Times New Roman"/>
          <w:sz w:val="28"/>
          <w:szCs w:val="28"/>
        </w:rPr>
        <w:t>, как правило, учатся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15C">
        <w:rPr>
          <w:rFonts w:ascii="Times New Roman" w:hAnsi="Times New Roman"/>
          <w:sz w:val="28"/>
          <w:szCs w:val="28"/>
        </w:rPr>
        <w:t>дети из наименее обеспеченных слоев и маргинальных групп населения</w:t>
      </w:r>
      <w:r>
        <w:rPr>
          <w:rStyle w:val="ab"/>
          <w:rFonts w:ascii="Times New Roman" w:hAnsi="Times New Roman"/>
          <w:sz w:val="28"/>
          <w:szCs w:val="28"/>
        </w:rPr>
        <w:footnoteReference w:id="1"/>
      </w:r>
      <w:r w:rsidRPr="0023515C">
        <w:rPr>
          <w:rFonts w:ascii="Times New Roman" w:hAnsi="Times New Roman"/>
          <w:sz w:val="28"/>
          <w:szCs w:val="28"/>
        </w:rPr>
        <w:t xml:space="preserve">. </w:t>
      </w:r>
    </w:p>
    <w:p w:rsidR="00D44858" w:rsidRPr="00C41A2A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 результатам ЕГЭ в Нижегородской области выделяется  также </w:t>
      </w:r>
      <w:r w:rsidRPr="00C41A2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</w:t>
      </w:r>
      <w:r w:rsidRPr="00C41A2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, находящихся в тех же самых социальных контекстах, как и школы с низкими результатами, обучающиеся которых демонстрируют</w:t>
      </w:r>
      <w:r w:rsidRPr="00C41A2A">
        <w:rPr>
          <w:rFonts w:ascii="Times New Roman" w:hAnsi="Times New Roman"/>
          <w:sz w:val="28"/>
          <w:szCs w:val="28"/>
        </w:rPr>
        <w:t xml:space="preserve"> устойчиво </w:t>
      </w:r>
      <w:r>
        <w:rPr>
          <w:rFonts w:ascii="Times New Roman" w:hAnsi="Times New Roman"/>
          <w:sz w:val="28"/>
          <w:szCs w:val="28"/>
        </w:rPr>
        <w:t xml:space="preserve">высокие образовательные результаты. Таким образом, в одних и тех же социальных </w:t>
      </w:r>
      <w:proofErr w:type="gramStart"/>
      <w:r>
        <w:rPr>
          <w:rFonts w:ascii="Times New Roman" w:hAnsi="Times New Roman"/>
          <w:sz w:val="28"/>
          <w:szCs w:val="28"/>
        </w:rPr>
        <w:t>контекстах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существуют различные по результатам и по качеству образования школы, поэтому можно предположить, что причины данного противоречия не внешние по отношению к ОО, а находятся внутри самих школ.</w:t>
      </w:r>
    </w:p>
    <w:p w:rsidR="00D44858" w:rsidRPr="00A350DC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50DC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350DC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350DC">
        <w:rPr>
          <w:rFonts w:ascii="Times New Roman" w:hAnsi="Times New Roman"/>
          <w:sz w:val="28"/>
          <w:szCs w:val="28"/>
        </w:rPr>
        <w:t>выявить комплекс в</w:t>
      </w:r>
      <w:r>
        <w:rPr>
          <w:rFonts w:ascii="Times New Roman" w:hAnsi="Times New Roman"/>
          <w:sz w:val="28"/>
          <w:szCs w:val="28"/>
        </w:rPr>
        <w:t xml:space="preserve">нешних и внутренних </w:t>
      </w:r>
      <w:r w:rsidR="00EF78CA">
        <w:rPr>
          <w:rFonts w:ascii="Times New Roman" w:hAnsi="Times New Roman"/>
          <w:sz w:val="28"/>
          <w:szCs w:val="28"/>
        </w:rPr>
        <w:t xml:space="preserve">типовых </w:t>
      </w:r>
      <w:r>
        <w:rPr>
          <w:rFonts w:ascii="Times New Roman" w:hAnsi="Times New Roman"/>
          <w:sz w:val="28"/>
          <w:szCs w:val="28"/>
        </w:rPr>
        <w:t>причин существующих различий в учебных результатах школ</w:t>
      </w:r>
      <w:r w:rsidRPr="00A350DC">
        <w:rPr>
          <w:rFonts w:ascii="Times New Roman" w:hAnsi="Times New Roman"/>
          <w:sz w:val="28"/>
          <w:szCs w:val="28"/>
        </w:rPr>
        <w:t xml:space="preserve"> и на этой </w:t>
      </w:r>
      <w:r w:rsidRPr="00A350DC">
        <w:rPr>
          <w:rFonts w:ascii="Times New Roman" w:hAnsi="Times New Roman"/>
          <w:sz w:val="28"/>
          <w:szCs w:val="28"/>
        </w:rPr>
        <w:lastRenderedPageBreak/>
        <w:t xml:space="preserve">основе </w:t>
      </w:r>
      <w:r>
        <w:rPr>
          <w:rFonts w:ascii="Times New Roman" w:hAnsi="Times New Roman"/>
          <w:sz w:val="28"/>
          <w:szCs w:val="28"/>
        </w:rPr>
        <w:t xml:space="preserve">предложить </w:t>
      </w:r>
      <w:r w:rsidR="00EF78CA">
        <w:rPr>
          <w:rFonts w:ascii="Times New Roman" w:hAnsi="Times New Roman"/>
          <w:sz w:val="28"/>
          <w:szCs w:val="28"/>
        </w:rPr>
        <w:t xml:space="preserve">возможные </w:t>
      </w:r>
      <w:r>
        <w:rPr>
          <w:rFonts w:ascii="Times New Roman" w:hAnsi="Times New Roman"/>
          <w:sz w:val="28"/>
          <w:szCs w:val="28"/>
        </w:rPr>
        <w:t xml:space="preserve">пути </w:t>
      </w:r>
      <w:r w:rsidR="00EF78CA">
        <w:rPr>
          <w:rFonts w:ascii="Times New Roman" w:hAnsi="Times New Roman"/>
          <w:sz w:val="28"/>
          <w:szCs w:val="28"/>
        </w:rPr>
        <w:t>решения проблем школ с низкими образовательными результатами</w:t>
      </w:r>
      <w:r w:rsidRPr="00A350DC">
        <w:rPr>
          <w:rFonts w:ascii="Times New Roman" w:hAnsi="Times New Roman"/>
          <w:sz w:val="28"/>
          <w:szCs w:val="28"/>
        </w:rPr>
        <w:t>.</w:t>
      </w:r>
    </w:p>
    <w:p w:rsidR="00904D6F" w:rsidRDefault="00904D6F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январь – февраль 2020 года.</w:t>
      </w:r>
    </w:p>
    <w:p w:rsidR="00D44858" w:rsidRPr="00013F0A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t xml:space="preserve">Методы исследования: </w:t>
      </w:r>
    </w:p>
    <w:p w:rsidR="00D44858" w:rsidRPr="00013F0A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t>Теоретические методы: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F0A">
        <w:rPr>
          <w:rFonts w:ascii="Times New Roman" w:hAnsi="Times New Roman"/>
          <w:sz w:val="28"/>
          <w:szCs w:val="28"/>
        </w:rPr>
        <w:t>выявление и разрешение противоречий, постановка проблемы, построение гипотезы и т.д.;</w:t>
      </w:r>
    </w:p>
    <w:p w:rsidR="00D44858" w:rsidRPr="00013F0A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t xml:space="preserve">Эмпирические методы: </w:t>
      </w:r>
      <w:r>
        <w:rPr>
          <w:rFonts w:ascii="Times New Roman" w:hAnsi="Times New Roman"/>
          <w:sz w:val="28"/>
          <w:szCs w:val="28"/>
        </w:rPr>
        <w:t>опрос,</w:t>
      </w:r>
      <w:r w:rsidRPr="00A350DC">
        <w:rPr>
          <w:rFonts w:ascii="Times New Roman" w:hAnsi="Times New Roman"/>
          <w:sz w:val="28"/>
          <w:szCs w:val="28"/>
        </w:rPr>
        <w:t xml:space="preserve"> </w:t>
      </w:r>
      <w:r w:rsidRPr="00013F0A">
        <w:rPr>
          <w:rFonts w:ascii="Times New Roman" w:hAnsi="Times New Roman"/>
          <w:sz w:val="28"/>
          <w:szCs w:val="28"/>
        </w:rPr>
        <w:t>анализ, сравнение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3F0A">
        <w:rPr>
          <w:rFonts w:ascii="Times New Roman" w:hAnsi="Times New Roman"/>
          <w:sz w:val="28"/>
          <w:szCs w:val="28"/>
        </w:rPr>
        <w:t xml:space="preserve"> обобщение</w:t>
      </w:r>
      <w:r>
        <w:rPr>
          <w:rFonts w:ascii="Times New Roman" w:hAnsi="Times New Roman"/>
          <w:sz w:val="28"/>
          <w:szCs w:val="28"/>
        </w:rPr>
        <w:t xml:space="preserve"> полученных данных.</w:t>
      </w:r>
    </w:p>
    <w:p w:rsidR="00D44858" w:rsidRPr="00013F0A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t>Для проведения исследования Л</w:t>
      </w:r>
      <w:r w:rsidR="00605580">
        <w:rPr>
          <w:rFonts w:ascii="Times New Roman" w:hAnsi="Times New Roman"/>
          <w:sz w:val="28"/>
          <w:szCs w:val="28"/>
        </w:rPr>
        <w:t>ИМОВОР</w:t>
      </w:r>
      <w:r w:rsidRPr="00013F0A">
        <w:rPr>
          <w:rFonts w:ascii="Times New Roman" w:hAnsi="Times New Roman"/>
          <w:sz w:val="28"/>
          <w:szCs w:val="28"/>
        </w:rPr>
        <w:t xml:space="preserve"> использовались следующие критерии отбора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4858" w:rsidRPr="006A1EA9" w:rsidTr="00743B57">
        <w:tc>
          <w:tcPr>
            <w:tcW w:w="4785" w:type="dxa"/>
          </w:tcPr>
          <w:p w:rsidR="00D44858" w:rsidRPr="00013F0A" w:rsidRDefault="00D44858" w:rsidP="00743B5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Школы, демонстрирующие устойчиво низкую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D44858" w:rsidRPr="00013F0A" w:rsidRDefault="00D44858" w:rsidP="00743B5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Школы, демонстрирующие устойчиво высокую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44858" w:rsidRPr="006A1EA9" w:rsidTr="00743B57">
        <w:tc>
          <w:tcPr>
            <w:tcW w:w="4785" w:type="dxa"/>
          </w:tcPr>
          <w:p w:rsidR="00D44858" w:rsidRPr="00013F0A" w:rsidRDefault="00D44858" w:rsidP="00743B5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F0A">
              <w:rPr>
                <w:rFonts w:ascii="Times New Roman" w:hAnsi="Times New Roman"/>
                <w:sz w:val="28"/>
                <w:szCs w:val="28"/>
              </w:rPr>
              <w:t>Являются средними общеобразовательными школами (как городскими, так и сельскими)</w:t>
            </w:r>
          </w:p>
        </w:tc>
        <w:tc>
          <w:tcPr>
            <w:tcW w:w="4786" w:type="dxa"/>
          </w:tcPr>
          <w:p w:rsidR="00D44858" w:rsidRPr="00013F0A" w:rsidRDefault="00D44858" w:rsidP="00743B5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F0A">
              <w:rPr>
                <w:rFonts w:ascii="Times New Roman" w:hAnsi="Times New Roman"/>
                <w:sz w:val="28"/>
                <w:szCs w:val="28"/>
              </w:rPr>
              <w:t>Являются средними общеобразовательными школами (как городскими, так и сельскими)</w:t>
            </w:r>
          </w:p>
        </w:tc>
      </w:tr>
      <w:tr w:rsidR="00D44858" w:rsidRPr="006A1EA9" w:rsidTr="00743B57">
        <w:tc>
          <w:tcPr>
            <w:tcW w:w="4785" w:type="dxa"/>
          </w:tcPr>
          <w:p w:rsidR="00D44858" w:rsidRPr="00013F0A" w:rsidRDefault="00D44858" w:rsidP="00743B5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F0A">
              <w:rPr>
                <w:rFonts w:ascii="Times New Roman" w:hAnsi="Times New Roman"/>
                <w:sz w:val="28"/>
                <w:szCs w:val="28"/>
              </w:rPr>
              <w:t xml:space="preserve">Не имеют особого статуса (не являются лицеем, гимназией, вечерней школой, православной гимназией, центром образования) </w:t>
            </w:r>
          </w:p>
        </w:tc>
        <w:tc>
          <w:tcPr>
            <w:tcW w:w="4786" w:type="dxa"/>
          </w:tcPr>
          <w:p w:rsidR="00D44858" w:rsidRPr="00013F0A" w:rsidRDefault="00D44858" w:rsidP="00743B5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F0A">
              <w:rPr>
                <w:rFonts w:ascii="Times New Roman" w:hAnsi="Times New Roman"/>
                <w:sz w:val="28"/>
                <w:szCs w:val="28"/>
              </w:rPr>
              <w:t>Не имеют особого статуса (не являются лицеем, гимназией, вечерней школой, православной гимназией, центром образования)</w:t>
            </w:r>
          </w:p>
        </w:tc>
      </w:tr>
      <w:tr w:rsidR="00D44858" w:rsidRPr="006A1EA9" w:rsidTr="00743B57">
        <w:tc>
          <w:tcPr>
            <w:tcW w:w="4785" w:type="dxa"/>
          </w:tcPr>
          <w:p w:rsidR="00D44858" w:rsidRPr="00013F0A" w:rsidRDefault="00D44858" w:rsidP="00605580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F0A">
              <w:rPr>
                <w:rFonts w:ascii="Times New Roman" w:hAnsi="Times New Roman"/>
                <w:sz w:val="28"/>
                <w:szCs w:val="28"/>
              </w:rPr>
              <w:t xml:space="preserve">Входят в число школ с низкими результатами сдачи ЕГЭ и экзаменов по выбору </w:t>
            </w:r>
            <w:proofErr w:type="gramStart"/>
            <w:r w:rsidRPr="00013F0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013F0A">
              <w:rPr>
                <w:rFonts w:ascii="Times New Roman" w:hAnsi="Times New Roman"/>
                <w:sz w:val="28"/>
                <w:szCs w:val="28"/>
              </w:rPr>
              <w:t xml:space="preserve"> последние 3 года </w:t>
            </w:r>
          </w:p>
        </w:tc>
        <w:tc>
          <w:tcPr>
            <w:tcW w:w="4786" w:type="dxa"/>
          </w:tcPr>
          <w:p w:rsidR="00D44858" w:rsidRPr="00013F0A" w:rsidRDefault="00D44858" w:rsidP="00605580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F0A">
              <w:rPr>
                <w:rFonts w:ascii="Times New Roman" w:hAnsi="Times New Roman"/>
                <w:sz w:val="28"/>
                <w:szCs w:val="28"/>
              </w:rPr>
              <w:t xml:space="preserve">Входят в число школ с высокими результатами сдачи ЕГЭ и экзаменов по выбору </w:t>
            </w:r>
            <w:proofErr w:type="gramStart"/>
            <w:r w:rsidRPr="00013F0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013F0A">
              <w:rPr>
                <w:rFonts w:ascii="Times New Roman" w:hAnsi="Times New Roman"/>
                <w:sz w:val="28"/>
                <w:szCs w:val="28"/>
              </w:rPr>
              <w:t xml:space="preserve"> последние 3 года </w:t>
            </w:r>
          </w:p>
        </w:tc>
      </w:tr>
    </w:tbl>
    <w:p w:rsidR="00D44858" w:rsidRPr="00013F0A" w:rsidRDefault="00605580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44858" w:rsidRPr="00013F0A">
        <w:rPr>
          <w:rFonts w:ascii="Times New Roman" w:hAnsi="Times New Roman"/>
          <w:sz w:val="28"/>
          <w:szCs w:val="28"/>
        </w:rPr>
        <w:t>окус-группа исследования включает 87 образова</w:t>
      </w:r>
      <w:r>
        <w:rPr>
          <w:rFonts w:ascii="Times New Roman" w:hAnsi="Times New Roman"/>
          <w:sz w:val="28"/>
          <w:szCs w:val="28"/>
        </w:rPr>
        <w:t>тельных организаций (из 839 ОО Н</w:t>
      </w:r>
      <w:r w:rsidR="00D44858" w:rsidRPr="00013F0A">
        <w:rPr>
          <w:rFonts w:ascii="Times New Roman" w:hAnsi="Times New Roman"/>
          <w:sz w:val="28"/>
          <w:szCs w:val="28"/>
        </w:rPr>
        <w:t>ижегородской области)</w:t>
      </w:r>
    </w:p>
    <w:p w:rsidR="00D44858" w:rsidRPr="00013F0A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F0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49</w:t>
      </w:r>
      <w:r w:rsidRPr="00013F0A">
        <w:rPr>
          <w:rFonts w:ascii="Times New Roman" w:hAnsi="Times New Roman"/>
          <w:sz w:val="28"/>
          <w:szCs w:val="28"/>
        </w:rPr>
        <w:t xml:space="preserve"> общеобразовательных средних школ</w:t>
      </w:r>
      <w:r w:rsidR="00605580" w:rsidRPr="00605580">
        <w:rPr>
          <w:rFonts w:ascii="Times New Roman" w:hAnsi="Times New Roman"/>
          <w:sz w:val="28"/>
          <w:szCs w:val="28"/>
        </w:rPr>
        <w:t xml:space="preserve"> </w:t>
      </w:r>
      <w:r w:rsidR="00605580" w:rsidRPr="00013F0A">
        <w:rPr>
          <w:rFonts w:ascii="Times New Roman" w:hAnsi="Times New Roman"/>
          <w:sz w:val="28"/>
          <w:szCs w:val="28"/>
        </w:rPr>
        <w:t>с высокими результатами</w:t>
      </w:r>
      <w:r>
        <w:rPr>
          <w:rFonts w:ascii="Times New Roman" w:hAnsi="Times New Roman"/>
          <w:sz w:val="28"/>
          <w:szCs w:val="28"/>
        </w:rPr>
        <w:t>, из них 42</w:t>
      </w:r>
      <w:r w:rsidRPr="00013F0A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13</w:t>
      </w:r>
      <w:r w:rsidRPr="00013F0A">
        <w:rPr>
          <w:rFonts w:ascii="Times New Roman" w:hAnsi="Times New Roman"/>
          <w:sz w:val="28"/>
          <w:szCs w:val="28"/>
        </w:rPr>
        <w:t xml:space="preserve"> районов Нижегородской области</w:t>
      </w:r>
      <w:r w:rsidR="0060558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(1), г.о. г. Арзамас (3), </w:t>
      </w:r>
      <w:proofErr w:type="spellStart"/>
      <w:r>
        <w:rPr>
          <w:rFonts w:ascii="Times New Roman" w:hAnsi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(2),  </w:t>
      </w:r>
      <w:proofErr w:type="spellStart"/>
      <w:r>
        <w:rPr>
          <w:rFonts w:ascii="Times New Roman" w:hAnsi="Times New Roman"/>
          <w:sz w:val="28"/>
          <w:szCs w:val="28"/>
        </w:rPr>
        <w:t>Большеболдинский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(1),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(1), г.о. г. Бор (5), Ветлужский (1), Воротынский (2), </w:t>
      </w:r>
      <w:proofErr w:type="spellStart"/>
      <w:r>
        <w:rPr>
          <w:rFonts w:ascii="Times New Roman" w:hAnsi="Times New Roman"/>
          <w:sz w:val="28"/>
          <w:szCs w:val="28"/>
        </w:rPr>
        <w:t>Гагинский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(4), Городецкий (5), г.о. г. Дзержинск (1), </w:t>
      </w:r>
      <w:proofErr w:type="spellStart"/>
      <w:r>
        <w:rPr>
          <w:rFonts w:ascii="Times New Roman" w:hAnsi="Times New Roman"/>
          <w:sz w:val="28"/>
          <w:szCs w:val="28"/>
        </w:rPr>
        <w:t>Кстовский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(1), </w:t>
      </w:r>
      <w:proofErr w:type="spellStart"/>
      <w:r>
        <w:rPr>
          <w:rFonts w:ascii="Times New Roman" w:hAnsi="Times New Roman"/>
          <w:sz w:val="28"/>
          <w:szCs w:val="28"/>
        </w:rPr>
        <w:t>Кулебакский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(1), </w:t>
      </w:r>
      <w:proofErr w:type="spellStart"/>
      <w:r>
        <w:rPr>
          <w:rFonts w:ascii="Times New Roman" w:hAnsi="Times New Roman"/>
          <w:sz w:val="28"/>
          <w:szCs w:val="28"/>
        </w:rPr>
        <w:t>Лысковский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(3), Павловский (4), </w:t>
      </w:r>
      <w:proofErr w:type="spellStart"/>
      <w:r>
        <w:rPr>
          <w:rFonts w:ascii="Times New Roman" w:hAnsi="Times New Roman"/>
          <w:sz w:val="28"/>
          <w:szCs w:val="28"/>
        </w:rPr>
        <w:t>Перевозский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(1), г</w:t>
      </w:r>
      <w:proofErr w:type="gramEnd"/>
      <w:r>
        <w:rPr>
          <w:rFonts w:ascii="Times New Roman" w:hAnsi="Times New Roman"/>
          <w:sz w:val="28"/>
          <w:szCs w:val="28"/>
        </w:rPr>
        <w:t xml:space="preserve">.о.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(3),  </w:t>
      </w:r>
      <w:proofErr w:type="spellStart"/>
      <w:r>
        <w:rPr>
          <w:rFonts w:ascii="Times New Roman" w:hAnsi="Times New Roman"/>
          <w:sz w:val="28"/>
          <w:szCs w:val="28"/>
        </w:rPr>
        <w:t>Шарангский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(1)</w:t>
      </w:r>
      <w:r w:rsidRPr="00013F0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7</w:t>
      </w:r>
      <w:r w:rsidRPr="00013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13F0A">
        <w:rPr>
          <w:rFonts w:ascii="Times New Roman" w:hAnsi="Times New Roman"/>
          <w:sz w:val="28"/>
          <w:szCs w:val="28"/>
        </w:rPr>
        <w:t>г. Н.Новгорода</w:t>
      </w:r>
      <w:r>
        <w:rPr>
          <w:rFonts w:ascii="Times New Roman" w:hAnsi="Times New Roman"/>
          <w:sz w:val="28"/>
          <w:szCs w:val="28"/>
        </w:rPr>
        <w:t xml:space="preserve"> (Автозаводский (2), </w:t>
      </w:r>
      <w:proofErr w:type="spellStart"/>
      <w:r>
        <w:rPr>
          <w:rFonts w:ascii="Times New Roman" w:hAnsi="Times New Roman"/>
          <w:sz w:val="28"/>
          <w:szCs w:val="28"/>
        </w:rPr>
        <w:t>Приокский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(2), Советский (1), </w:t>
      </w:r>
      <w:proofErr w:type="spellStart"/>
      <w:r>
        <w:rPr>
          <w:rFonts w:ascii="Times New Roman" w:hAnsi="Times New Roman"/>
          <w:sz w:val="28"/>
          <w:szCs w:val="28"/>
        </w:rPr>
        <w:t>Канавинский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(2))</w:t>
      </w:r>
      <w:r w:rsidR="00605580">
        <w:rPr>
          <w:rFonts w:ascii="Times New Roman" w:hAnsi="Times New Roman"/>
          <w:sz w:val="28"/>
          <w:szCs w:val="28"/>
        </w:rPr>
        <w:t>.</w:t>
      </w:r>
    </w:p>
    <w:p w:rsidR="00D44858" w:rsidRPr="00013F0A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70</w:t>
      </w:r>
      <w:r w:rsidRPr="00013F0A">
        <w:rPr>
          <w:rFonts w:ascii="Times New Roman" w:hAnsi="Times New Roman"/>
          <w:sz w:val="28"/>
          <w:szCs w:val="28"/>
        </w:rPr>
        <w:t xml:space="preserve"> общеобразовательных средних школ</w:t>
      </w:r>
      <w:r w:rsidR="00605580" w:rsidRPr="00605580">
        <w:rPr>
          <w:rFonts w:ascii="Times New Roman" w:hAnsi="Times New Roman"/>
          <w:sz w:val="28"/>
          <w:szCs w:val="28"/>
        </w:rPr>
        <w:t xml:space="preserve"> </w:t>
      </w:r>
      <w:r w:rsidR="00605580" w:rsidRPr="00013F0A">
        <w:rPr>
          <w:rFonts w:ascii="Times New Roman" w:hAnsi="Times New Roman"/>
          <w:sz w:val="28"/>
          <w:szCs w:val="28"/>
        </w:rPr>
        <w:t>с низкими результатами</w:t>
      </w:r>
      <w:r>
        <w:rPr>
          <w:rFonts w:ascii="Times New Roman" w:hAnsi="Times New Roman"/>
          <w:sz w:val="28"/>
          <w:szCs w:val="28"/>
        </w:rPr>
        <w:t>, из них 51 ОО</w:t>
      </w:r>
      <w:r w:rsidRPr="00013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26</w:t>
      </w:r>
      <w:r w:rsidRPr="00013F0A">
        <w:rPr>
          <w:rFonts w:ascii="Times New Roman" w:hAnsi="Times New Roman"/>
          <w:sz w:val="28"/>
          <w:szCs w:val="28"/>
        </w:rPr>
        <w:t xml:space="preserve"> районов Нижегородской области, </w:t>
      </w:r>
      <w:r>
        <w:rPr>
          <w:rFonts w:ascii="Times New Roman" w:hAnsi="Times New Roman"/>
          <w:sz w:val="28"/>
          <w:szCs w:val="28"/>
        </w:rPr>
        <w:t>19</w:t>
      </w:r>
      <w:r w:rsidRPr="00013F0A">
        <w:rPr>
          <w:rFonts w:ascii="Times New Roman" w:hAnsi="Times New Roman"/>
          <w:sz w:val="28"/>
          <w:szCs w:val="28"/>
        </w:rPr>
        <w:t xml:space="preserve"> общеобразовательных средних школы из </w:t>
      </w:r>
      <w:proofErr w:type="gramStart"/>
      <w:r w:rsidRPr="00013F0A">
        <w:rPr>
          <w:rFonts w:ascii="Times New Roman" w:hAnsi="Times New Roman"/>
          <w:sz w:val="28"/>
          <w:szCs w:val="28"/>
        </w:rPr>
        <w:t>г</w:t>
      </w:r>
      <w:proofErr w:type="gramEnd"/>
      <w:r w:rsidRPr="00013F0A">
        <w:rPr>
          <w:rFonts w:ascii="Times New Roman" w:hAnsi="Times New Roman"/>
          <w:sz w:val="28"/>
          <w:szCs w:val="28"/>
        </w:rPr>
        <w:t>. Н.Новгорода</w:t>
      </w:r>
      <w:r>
        <w:rPr>
          <w:rFonts w:ascii="Times New Roman" w:hAnsi="Times New Roman"/>
          <w:sz w:val="28"/>
          <w:szCs w:val="28"/>
        </w:rPr>
        <w:t>.</w:t>
      </w:r>
    </w:p>
    <w:p w:rsidR="00D44858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3F0A">
        <w:rPr>
          <w:rFonts w:ascii="Times New Roman" w:hAnsi="Times New Roman"/>
          <w:sz w:val="28"/>
          <w:szCs w:val="28"/>
        </w:rPr>
        <w:t>Контроль параметров выборки осуществля</w:t>
      </w:r>
      <w:r>
        <w:rPr>
          <w:rFonts w:ascii="Times New Roman" w:hAnsi="Times New Roman"/>
          <w:sz w:val="28"/>
          <w:szCs w:val="28"/>
        </w:rPr>
        <w:t>лся</w:t>
      </w:r>
      <w:r w:rsidRPr="00013F0A">
        <w:rPr>
          <w:rFonts w:ascii="Times New Roman" w:hAnsi="Times New Roman"/>
          <w:sz w:val="28"/>
          <w:szCs w:val="28"/>
        </w:rPr>
        <w:t xml:space="preserve"> по следующим характеристикам: место расположения ОО (областной центр, город, поселок городского типа, сельское поселение), численность учащихся, стаж работы</w:t>
      </w:r>
      <w:r>
        <w:rPr>
          <w:rFonts w:ascii="Times New Roman" w:hAnsi="Times New Roman"/>
          <w:sz w:val="28"/>
          <w:szCs w:val="28"/>
        </w:rPr>
        <w:t xml:space="preserve"> руководителя ОО</w:t>
      </w:r>
      <w:r w:rsidRPr="00013F0A">
        <w:rPr>
          <w:rFonts w:ascii="Times New Roman" w:hAnsi="Times New Roman"/>
          <w:sz w:val="28"/>
          <w:szCs w:val="28"/>
        </w:rPr>
        <w:t xml:space="preserve"> в данной должности.</w:t>
      </w:r>
    </w:p>
    <w:p w:rsidR="00D44858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всего было опрошено 119 руковод</w:t>
      </w:r>
      <w:r w:rsidR="00605580">
        <w:rPr>
          <w:rFonts w:ascii="Times New Roman" w:hAnsi="Times New Roman"/>
          <w:sz w:val="28"/>
          <w:szCs w:val="28"/>
        </w:rPr>
        <w:t>ящих работников</w:t>
      </w:r>
      <w:r>
        <w:rPr>
          <w:rFonts w:ascii="Times New Roman" w:hAnsi="Times New Roman"/>
          <w:sz w:val="28"/>
          <w:szCs w:val="28"/>
        </w:rPr>
        <w:t xml:space="preserve"> ОО, из них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0"/>
        <w:gridCol w:w="3600"/>
      </w:tblGrid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Параметры сравнения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Школы с низкой результативностью</w:t>
            </w:r>
            <w:proofErr w:type="gramStart"/>
            <w:r w:rsidRPr="00213137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Школы с высокой результативностью</w:t>
            </w:r>
            <w:proofErr w:type="gramStart"/>
            <w:r w:rsidRPr="00213137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44858" w:rsidTr="00213137">
        <w:tc>
          <w:tcPr>
            <w:tcW w:w="10008" w:type="dxa"/>
            <w:gridSpan w:val="3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Областной центр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Районный центр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Поселки и сельские поселения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44858" w:rsidTr="00213137">
        <w:tc>
          <w:tcPr>
            <w:tcW w:w="10008" w:type="dxa"/>
            <w:gridSpan w:val="3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1313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менее 50 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от 50 до 100 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от 100 до 500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более 500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44858" w:rsidTr="00213137">
        <w:tc>
          <w:tcPr>
            <w:tcW w:w="10008" w:type="dxa"/>
            <w:gridSpan w:val="3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Стаж руководителя в занимаемой должности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Менее 5 лет 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 xml:space="preserve">5-10 лет 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44858" w:rsidTr="00213137">
        <w:tc>
          <w:tcPr>
            <w:tcW w:w="2808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Более 15 лет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D44858" w:rsidRPr="00213137" w:rsidRDefault="00D44858" w:rsidP="00213137">
            <w:pPr>
              <w:pStyle w:val="ListParagraph1"/>
              <w:tabs>
                <w:tab w:val="left" w:pos="0"/>
                <w:tab w:val="left" w:pos="993"/>
                <w:tab w:val="left" w:pos="1418"/>
                <w:tab w:val="left" w:pos="9355"/>
              </w:tabs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1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D44858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зависимость результативности от территориального месторасположения не подтверждается. В школах, где руководитель </w:t>
      </w:r>
      <w:proofErr w:type="gramStart"/>
      <w:r>
        <w:rPr>
          <w:rFonts w:ascii="Times New Roman" w:hAnsi="Times New Roman"/>
          <w:sz w:val="28"/>
          <w:szCs w:val="28"/>
        </w:rPr>
        <w:t>имеет больший стаж работы в занимаемой должности выявляется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высокая результативность, но она не имеет прямой корреляции со стажем руководителя, так как в школах, где у руководителя небольшой стаж наблюдаются высокие результаты, и наоборот школы с опытным руководителем демонстрируют низкие образовательные результаты. </w:t>
      </w:r>
      <w:r w:rsidRPr="00EF78CA">
        <w:rPr>
          <w:rFonts w:ascii="Times New Roman" w:hAnsi="Times New Roman"/>
          <w:sz w:val="28"/>
          <w:szCs w:val="28"/>
        </w:rPr>
        <w:t xml:space="preserve">Школ с большим количеством обучающихся (более 500 чел.), демонстрирующих высокие результаты, больше, чем подобных школ с низкими результатами на 38 %. Школ с количеством </w:t>
      </w:r>
      <w:r w:rsidRPr="00EF78CA">
        <w:rPr>
          <w:rFonts w:ascii="Times New Roman" w:hAnsi="Times New Roman"/>
          <w:sz w:val="28"/>
          <w:szCs w:val="28"/>
        </w:rPr>
        <w:lastRenderedPageBreak/>
        <w:t>обучающихся от 100 до 500 чел., демонстрирующих низкие результаты, больше, чем подобных школ с высокими результатами на 34 %.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8CA">
        <w:rPr>
          <w:rFonts w:ascii="Times New Roman" w:hAnsi="Times New Roman"/>
          <w:sz w:val="28"/>
          <w:szCs w:val="28"/>
        </w:rPr>
        <w:t xml:space="preserve"> Данный факт  требует отдельного исследования.</w:t>
      </w:r>
    </w:p>
    <w:p w:rsidR="00D44858" w:rsidRPr="00C17D21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D21">
        <w:rPr>
          <w:rFonts w:ascii="Times New Roman" w:hAnsi="Times New Roman"/>
          <w:b/>
          <w:sz w:val="28"/>
          <w:szCs w:val="28"/>
        </w:rPr>
        <w:t>Анализ результатов опроса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Виды</w:t>
      </w:r>
      <w:r w:rsidRPr="00694F86">
        <w:rPr>
          <w:rFonts w:ascii="Times New Roman" w:hAnsi="Times New Roman"/>
          <w:b/>
          <w:sz w:val="28"/>
          <w:szCs w:val="28"/>
        </w:rPr>
        <w:t xml:space="preserve"> результативности в обучении учеников  школ с низкими и высокими результатами ЕГЭ.</w:t>
      </w:r>
    </w:p>
    <w:p w:rsidR="00D44858" w:rsidRPr="001B320D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1B320D">
        <w:rPr>
          <w:rFonts w:ascii="Times New Roman" w:hAnsi="Times New Roman"/>
          <w:sz w:val="28"/>
          <w:szCs w:val="28"/>
        </w:rPr>
        <w:t xml:space="preserve">Респондентам было предложено выбрать, какой из вариантов результативности демонстрируют ученики их школ: </w:t>
      </w:r>
    </w:p>
    <w:p w:rsidR="00D44858" w:rsidRPr="001B320D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C17D21">
        <w:rPr>
          <w:rFonts w:ascii="Times New Roman" w:hAnsi="Times New Roman"/>
          <w:sz w:val="28"/>
          <w:szCs w:val="28"/>
        </w:rPr>
        <w:t>1. обучающиеся в основном не хотят учиться, что видно и по текущим оценкам и</w:t>
      </w:r>
      <w:r w:rsidRPr="001B320D">
        <w:rPr>
          <w:rFonts w:ascii="Times New Roman" w:hAnsi="Times New Roman"/>
          <w:sz w:val="28"/>
          <w:szCs w:val="28"/>
        </w:rPr>
        <w:t xml:space="preserve"> по результатам государственной итоговой аттестации;</w:t>
      </w:r>
      <w:proofErr w:type="gramEnd"/>
    </w:p>
    <w:p w:rsidR="00D44858" w:rsidRPr="001B320D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1B320D">
        <w:rPr>
          <w:rFonts w:ascii="Times New Roman" w:hAnsi="Times New Roman"/>
          <w:sz w:val="28"/>
          <w:szCs w:val="28"/>
        </w:rPr>
        <w:t xml:space="preserve">2. текущие результаты демонстрируют успешность </w:t>
      </w:r>
      <w:proofErr w:type="gramStart"/>
      <w:r w:rsidRPr="001B32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320D">
        <w:rPr>
          <w:rFonts w:ascii="Times New Roman" w:hAnsi="Times New Roman"/>
          <w:sz w:val="28"/>
          <w:szCs w:val="28"/>
        </w:rPr>
        <w:t>, но результаты государственной итоговой аттестации не высокие;</w:t>
      </w:r>
    </w:p>
    <w:p w:rsidR="00D44858" w:rsidRPr="001B320D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1B320D">
        <w:rPr>
          <w:rFonts w:ascii="Times New Roman" w:hAnsi="Times New Roman"/>
          <w:sz w:val="28"/>
          <w:szCs w:val="28"/>
        </w:rPr>
        <w:t xml:space="preserve">3. текущие результаты </w:t>
      </w:r>
      <w:proofErr w:type="gramStart"/>
      <w:r w:rsidRPr="001B32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320D">
        <w:rPr>
          <w:rFonts w:ascii="Times New Roman" w:hAnsi="Times New Roman"/>
          <w:sz w:val="28"/>
          <w:szCs w:val="28"/>
        </w:rPr>
        <w:t xml:space="preserve"> низкие, но результаты государственной итоговой аттестации выпускники показывают высокие;</w:t>
      </w:r>
    </w:p>
    <w:p w:rsidR="00D44858" w:rsidRDefault="00D44858" w:rsidP="00C17D21">
      <w:pPr>
        <w:pStyle w:val="ListParagraph1"/>
        <w:tabs>
          <w:tab w:val="left" w:pos="0"/>
          <w:tab w:val="left" w:pos="993"/>
          <w:tab w:val="left" w:pos="1418"/>
          <w:tab w:val="left" w:pos="9355"/>
        </w:tabs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1B320D">
        <w:rPr>
          <w:rFonts w:ascii="Times New Roman" w:hAnsi="Times New Roman"/>
          <w:sz w:val="28"/>
          <w:szCs w:val="28"/>
        </w:rPr>
        <w:t xml:space="preserve">4. и текущие оценки, и результаты государственной итоговой аттестации выпускники демонстрируют успешность </w:t>
      </w:r>
      <w:proofErr w:type="gramStart"/>
      <w:r w:rsidRPr="001B32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320D">
        <w:rPr>
          <w:rFonts w:ascii="Times New Roman" w:hAnsi="Times New Roman"/>
          <w:sz w:val="28"/>
          <w:szCs w:val="28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Чуть более половины всех опрошенных</w:t>
      </w:r>
      <w:r w:rsidRPr="00694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A00BC">
        <w:rPr>
          <w:rFonts w:ascii="Times New Roman" w:hAnsi="Times New Roman"/>
          <w:b/>
          <w:color w:val="000000"/>
          <w:sz w:val="28"/>
          <w:szCs w:val="28"/>
          <w:lang w:eastAsia="ru-RU"/>
        </w:rPr>
        <w:t>53%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руководителей школ с низкими результатами определили, что т</w:t>
      </w:r>
      <w:r w:rsidRPr="00694F86">
        <w:rPr>
          <w:rFonts w:ascii="Times New Roman" w:hAnsi="Times New Roman"/>
          <w:color w:val="000000"/>
          <w:sz w:val="28"/>
          <w:szCs w:val="28"/>
          <w:lang w:eastAsia="ru-RU"/>
        </w:rPr>
        <w:t>екущие результаты демонстрируют успешность обучающихся, но результаты государственной итоговой аттестации не высокие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A00BC">
        <w:rPr>
          <w:rFonts w:ascii="Times New Roman" w:hAnsi="Times New Roman"/>
          <w:b/>
          <w:color w:val="000000"/>
          <w:sz w:val="28"/>
          <w:szCs w:val="28"/>
          <w:lang w:eastAsia="ru-RU"/>
        </w:rPr>
        <w:t>40%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опрошенных отметили, что, судя </w:t>
      </w:r>
      <w:r w:rsidRPr="00694F86">
        <w:rPr>
          <w:rFonts w:ascii="Times New Roman" w:hAnsi="Times New Roman"/>
          <w:color w:val="000000"/>
          <w:sz w:val="28"/>
          <w:szCs w:val="28"/>
          <w:lang w:eastAsia="ru-RU"/>
        </w:rPr>
        <w:t>и по текущим оценкам и по результатам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обучающиеся в</w:t>
      </w:r>
      <w:r w:rsidRPr="00694F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 не хотят учиться, т.е. в 10 – 11 класс пришли учиться не мотивированные к обучению школьники.</w:t>
      </w:r>
      <w:proofErr w:type="gramEnd"/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 неуспешно сдающих ЕГЭ обучающихся отвечали только руководители школ с низкими результатами. </w:t>
      </w:r>
      <w:r w:rsidRPr="00EA74FD">
        <w:rPr>
          <w:rFonts w:ascii="Times New Roman" w:hAnsi="Times New Roman"/>
          <w:sz w:val="28"/>
          <w:szCs w:val="28"/>
        </w:rPr>
        <w:t xml:space="preserve">Чаще всего не успешно сдают </w:t>
      </w:r>
      <w:r>
        <w:rPr>
          <w:rFonts w:ascii="Times New Roman" w:hAnsi="Times New Roman"/>
          <w:sz w:val="28"/>
          <w:szCs w:val="28"/>
        </w:rPr>
        <w:t>ЕГЭ</w:t>
      </w:r>
      <w:r w:rsidRPr="00EA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 категории </w:t>
      </w:r>
      <w:r w:rsidRPr="00EA74FD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:</w:t>
      </w:r>
    </w:p>
    <w:p w:rsidR="00D44858" w:rsidRPr="00EA74F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74FD">
        <w:rPr>
          <w:rFonts w:ascii="Times New Roman" w:hAnsi="Times New Roman"/>
          <w:color w:val="000000"/>
          <w:sz w:val="28"/>
          <w:szCs w:val="28"/>
          <w:lang w:eastAsia="ru-RU"/>
        </w:rPr>
        <w:t>- Имевшие низкие текущие результаты</w:t>
      </w:r>
    </w:p>
    <w:p w:rsidR="00D44858" w:rsidRPr="00EA74F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A7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Pr="00EA74FD">
        <w:rPr>
          <w:rFonts w:ascii="Times New Roman" w:hAnsi="Times New Roman"/>
          <w:color w:val="000000"/>
          <w:sz w:val="28"/>
          <w:szCs w:val="28"/>
          <w:lang w:eastAsia="ru-RU"/>
        </w:rPr>
        <w:t>мотивированные</w:t>
      </w:r>
      <w:proofErr w:type="gramEnd"/>
      <w:r w:rsidRPr="00EA7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достижению высоких результатов в обучении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успешность сдачи ЕГЭ в школах с низкими результатами, по мнению опрошенных, могут влиять </w:t>
      </w:r>
      <w:r w:rsidRPr="005755BE">
        <w:rPr>
          <w:rFonts w:ascii="Times New Roman" w:hAnsi="Times New Roman"/>
          <w:b/>
          <w:sz w:val="28"/>
          <w:szCs w:val="28"/>
        </w:rPr>
        <w:t>невысокая содержательная подготовленность и низкая мотивация к достижению успеха обучающихся.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Руководители школ с высокими результатами практически единодушно (</w:t>
      </w:r>
      <w:r w:rsidRPr="000517BF">
        <w:rPr>
          <w:rFonts w:ascii="Times New Roman" w:hAnsi="Times New Roman"/>
          <w:b/>
          <w:color w:val="000000"/>
          <w:sz w:val="28"/>
          <w:szCs w:val="28"/>
          <w:lang w:eastAsia="ru-RU"/>
        </w:rPr>
        <w:t>87 %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опрошенных) определили, что и </w:t>
      </w:r>
      <w:r w:rsidRPr="00775F19">
        <w:rPr>
          <w:rFonts w:ascii="Times New Roman" w:hAnsi="Times New Roman"/>
          <w:b/>
          <w:sz w:val="28"/>
          <w:szCs w:val="28"/>
        </w:rPr>
        <w:t>текущи</w:t>
      </w:r>
      <w:r>
        <w:rPr>
          <w:rFonts w:ascii="Times New Roman" w:hAnsi="Times New Roman"/>
          <w:b/>
          <w:sz w:val="28"/>
          <w:szCs w:val="28"/>
        </w:rPr>
        <w:t>е</w:t>
      </w:r>
      <w:r w:rsidRPr="00775F19">
        <w:rPr>
          <w:rFonts w:ascii="Times New Roman" w:hAnsi="Times New Roman"/>
          <w:b/>
          <w:sz w:val="28"/>
          <w:szCs w:val="28"/>
        </w:rPr>
        <w:t xml:space="preserve"> оцен</w:t>
      </w:r>
      <w:r>
        <w:rPr>
          <w:rFonts w:ascii="Times New Roman" w:hAnsi="Times New Roman"/>
          <w:b/>
          <w:sz w:val="28"/>
          <w:szCs w:val="28"/>
        </w:rPr>
        <w:t>ки</w:t>
      </w:r>
      <w:r w:rsidRPr="00775F19">
        <w:rPr>
          <w:rFonts w:ascii="Times New Roman" w:hAnsi="Times New Roman"/>
          <w:b/>
          <w:sz w:val="28"/>
          <w:szCs w:val="28"/>
        </w:rPr>
        <w:t>, и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775F19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демонстрируют сбалансированную успешность их учеников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75F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Возможно,</w:t>
      </w:r>
      <w:r w:rsidRPr="00F07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достижение этой сбалансированности может дать возможность школам с низкими результатами стать успешными в результативности сдачи ЕГЭ.</w:t>
      </w:r>
    </w:p>
    <w:p w:rsidR="00D44858" w:rsidRPr="004F37E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2CA6">
        <w:rPr>
          <w:rFonts w:ascii="Times New Roman" w:hAnsi="Times New Roman"/>
          <w:b/>
          <w:sz w:val="28"/>
          <w:szCs w:val="28"/>
        </w:rPr>
        <w:t>В</w:t>
      </w:r>
      <w:r w:rsidRPr="004F37E3">
        <w:rPr>
          <w:rFonts w:ascii="Times New Roman" w:hAnsi="Times New Roman"/>
          <w:b/>
          <w:sz w:val="28"/>
          <w:szCs w:val="28"/>
        </w:rPr>
        <w:t>нутришкольны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4F37E3">
        <w:rPr>
          <w:rFonts w:ascii="Times New Roman" w:hAnsi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/>
          <w:b/>
          <w:sz w:val="28"/>
          <w:szCs w:val="28"/>
        </w:rPr>
        <w:t>я,</w:t>
      </w:r>
      <w:r w:rsidRPr="004F37E3">
        <w:rPr>
          <w:rFonts w:ascii="Times New Roman" w:hAnsi="Times New Roman"/>
          <w:b/>
          <w:sz w:val="28"/>
          <w:szCs w:val="28"/>
        </w:rPr>
        <w:t xml:space="preserve"> в наибольшей </w:t>
      </w:r>
      <w:proofErr w:type="gramStart"/>
      <w:r w:rsidRPr="004F37E3">
        <w:rPr>
          <w:rFonts w:ascii="Times New Roman" w:hAnsi="Times New Roman"/>
          <w:b/>
          <w:sz w:val="28"/>
          <w:szCs w:val="28"/>
        </w:rPr>
        <w:t>степени</w:t>
      </w:r>
      <w:proofErr w:type="gramEnd"/>
      <w:r w:rsidRPr="004F37E3">
        <w:rPr>
          <w:rFonts w:ascii="Times New Roman" w:hAnsi="Times New Roman"/>
          <w:b/>
          <w:sz w:val="28"/>
          <w:szCs w:val="28"/>
        </w:rPr>
        <w:t xml:space="preserve"> определяю</w:t>
      </w:r>
      <w:r>
        <w:rPr>
          <w:rFonts w:ascii="Times New Roman" w:hAnsi="Times New Roman"/>
          <w:b/>
          <w:sz w:val="28"/>
          <w:szCs w:val="28"/>
        </w:rPr>
        <w:t>щие</w:t>
      </w:r>
      <w:r w:rsidRPr="004F37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37E3">
        <w:rPr>
          <w:rFonts w:ascii="Times New Roman" w:hAnsi="Times New Roman"/>
          <w:b/>
          <w:sz w:val="28"/>
          <w:szCs w:val="28"/>
        </w:rPr>
        <w:t>неудовлеворительные</w:t>
      </w:r>
      <w:proofErr w:type="spellEnd"/>
      <w:r w:rsidRPr="004F37E3">
        <w:rPr>
          <w:rFonts w:ascii="Times New Roman" w:hAnsi="Times New Roman"/>
          <w:b/>
          <w:sz w:val="28"/>
          <w:szCs w:val="28"/>
        </w:rPr>
        <w:t xml:space="preserve"> или удовлетворительные результаты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4F37E3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>.</w:t>
      </w:r>
      <w:r w:rsidRPr="004F37E3">
        <w:rPr>
          <w:rFonts w:ascii="Times New Roman" w:hAnsi="Times New Roman"/>
          <w:b/>
          <w:sz w:val="28"/>
          <w:szCs w:val="28"/>
        </w:rPr>
        <w:t xml:space="preserve"> 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</w:t>
      </w:r>
      <w:r w:rsidRPr="008D07B3">
        <w:rPr>
          <w:rFonts w:ascii="Times New Roman" w:hAnsi="Times New Roman"/>
          <w:sz w:val="28"/>
          <w:szCs w:val="28"/>
        </w:rPr>
        <w:t xml:space="preserve"> условий, влияющих на неудовле</w:t>
      </w:r>
      <w:r>
        <w:rPr>
          <w:rFonts w:ascii="Times New Roman" w:hAnsi="Times New Roman"/>
          <w:sz w:val="28"/>
          <w:szCs w:val="28"/>
        </w:rPr>
        <w:t>т</w:t>
      </w:r>
      <w:r w:rsidRPr="008D07B3">
        <w:rPr>
          <w:rFonts w:ascii="Times New Roman" w:hAnsi="Times New Roman"/>
          <w:sz w:val="28"/>
          <w:szCs w:val="28"/>
        </w:rPr>
        <w:t>ворительные результаты ЕГЭ, представлен в графике:</w:t>
      </w:r>
    </w:p>
    <w:p w:rsidR="00D44858" w:rsidRDefault="00065951" w:rsidP="00C17D21">
      <w:pPr>
        <w:spacing w:after="0" w:line="360" w:lineRule="auto"/>
        <w:ind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9237" cy="4298823"/>
            <wp:effectExtent l="12192" t="6096" r="6096" b="381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из</w:t>
      </w:r>
      <w:r w:rsidRPr="008D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7B3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8D07B3">
        <w:rPr>
          <w:rFonts w:ascii="Times New Roman" w:hAnsi="Times New Roman"/>
          <w:sz w:val="28"/>
          <w:szCs w:val="28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 xml:space="preserve">в первую очередь </w:t>
      </w:r>
      <w:r w:rsidRPr="008D07B3">
        <w:rPr>
          <w:rFonts w:ascii="Times New Roman" w:hAnsi="Times New Roman"/>
          <w:sz w:val="28"/>
          <w:szCs w:val="28"/>
        </w:rPr>
        <w:t>влияющих</w:t>
      </w:r>
      <w:r>
        <w:rPr>
          <w:rFonts w:ascii="Times New Roman" w:hAnsi="Times New Roman"/>
          <w:sz w:val="28"/>
          <w:szCs w:val="28"/>
        </w:rPr>
        <w:t>, по мнению респондентов, на получение</w:t>
      </w:r>
      <w:r w:rsidRPr="008D07B3">
        <w:rPr>
          <w:rFonts w:ascii="Times New Roman" w:hAnsi="Times New Roman"/>
          <w:sz w:val="28"/>
          <w:szCs w:val="28"/>
        </w:rPr>
        <w:t xml:space="preserve"> неудовле</w:t>
      </w:r>
      <w:r>
        <w:rPr>
          <w:rFonts w:ascii="Times New Roman" w:hAnsi="Times New Roman"/>
          <w:sz w:val="28"/>
          <w:szCs w:val="28"/>
        </w:rPr>
        <w:t>т</w:t>
      </w:r>
      <w:r w:rsidRPr="008D07B3">
        <w:rPr>
          <w:rFonts w:ascii="Times New Roman" w:hAnsi="Times New Roman"/>
          <w:sz w:val="28"/>
          <w:szCs w:val="28"/>
        </w:rPr>
        <w:t>ворительных результаты ЕГЭ обучающихся</w:t>
      </w:r>
      <w:r>
        <w:rPr>
          <w:rFonts w:ascii="Times New Roman" w:hAnsi="Times New Roman"/>
          <w:sz w:val="28"/>
          <w:szCs w:val="28"/>
        </w:rPr>
        <w:t xml:space="preserve"> выделяются</w:t>
      </w:r>
      <w:r w:rsidRPr="008D07B3">
        <w:rPr>
          <w:rFonts w:ascii="Times New Roman" w:hAnsi="Times New Roman"/>
          <w:sz w:val="28"/>
          <w:szCs w:val="28"/>
        </w:rPr>
        <w:t xml:space="preserve"> следующие (в порядке убывания влияния):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sz w:val="28"/>
          <w:szCs w:val="28"/>
        </w:rPr>
        <w:t xml:space="preserve">- 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образовательной организации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>Не участие родителей в жизни школы</w:t>
      </w:r>
    </w:p>
    <w:p w:rsidR="00D44858" w:rsidRPr="00390E6F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90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Неудовлетворительный отбор учителей для работы в 10—11 классах </w:t>
      </w:r>
    </w:p>
    <w:p w:rsidR="00D44858" w:rsidRPr="00390E6F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E6F">
        <w:rPr>
          <w:rFonts w:ascii="Times New Roman" w:hAnsi="Times New Roman"/>
          <w:sz w:val="28"/>
          <w:szCs w:val="28"/>
        </w:rPr>
        <w:t xml:space="preserve">- </w:t>
      </w:r>
      <w:r w:rsidRPr="00390E6F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90E6F">
        <w:rPr>
          <w:rFonts w:ascii="Times New Roman" w:hAnsi="Times New Roman"/>
          <w:color w:val="000000"/>
          <w:sz w:val="28"/>
          <w:szCs w:val="28"/>
          <w:lang w:eastAsia="ru-RU"/>
        </w:rPr>
        <w:t>Несистемность</w:t>
      </w:r>
      <w:proofErr w:type="spellEnd"/>
      <w:r w:rsidRPr="00390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диагностики результатов педагогической деятельности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>Низкая профессиональная квалификация педагогов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системности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методической работы как условия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профессионального роста учителей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B3">
        <w:rPr>
          <w:rFonts w:ascii="Times New Roman" w:hAnsi="Times New Roman"/>
          <w:sz w:val="28"/>
          <w:szCs w:val="28"/>
        </w:rPr>
        <w:t xml:space="preserve">В то же время руководители школ с высокими результатами среди условий, в наибольшей степени влияющих на высокие результаты ЕГЭ обучающихся, указали: 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6CA7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Профессиональная квалификация педагогов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6CA7">
        <w:rPr>
          <w:rFonts w:ascii="Times New Roman" w:hAnsi="Times New Roman"/>
          <w:color w:val="000000"/>
          <w:sz w:val="28"/>
          <w:szCs w:val="28"/>
          <w:lang w:eastAsia="ru-RU"/>
        </w:rPr>
        <w:t>Системность контроля и диагностики результатов педагогической деятельности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6CA7">
        <w:rPr>
          <w:rFonts w:ascii="Times New Roman" w:hAnsi="Times New Roman"/>
          <w:color w:val="000000"/>
          <w:sz w:val="28"/>
          <w:szCs w:val="28"/>
          <w:lang w:eastAsia="ru-RU"/>
        </w:rPr>
        <w:t>Системность методической работы как условие профессионального роста учителей</w:t>
      </w:r>
    </w:p>
    <w:p w:rsidR="00D44858" w:rsidRPr="008D07B3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6CA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D44858" w:rsidRPr="00C17D21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21">
        <w:rPr>
          <w:rFonts w:ascii="Times New Roman" w:hAnsi="Times New Roman"/>
          <w:sz w:val="28"/>
          <w:szCs w:val="28"/>
        </w:rPr>
        <w:t xml:space="preserve">Таким образом, можно предположить, что наличие или отсутствие именно </w:t>
      </w:r>
      <w:r w:rsidRPr="00C17D21">
        <w:rPr>
          <w:rFonts w:ascii="Times New Roman" w:hAnsi="Times New Roman"/>
          <w:i/>
          <w:sz w:val="28"/>
          <w:szCs w:val="28"/>
        </w:rPr>
        <w:t>выделенных условий</w:t>
      </w:r>
      <w:r w:rsidRPr="00C17D21">
        <w:rPr>
          <w:rFonts w:ascii="Times New Roman" w:hAnsi="Times New Roman"/>
          <w:sz w:val="28"/>
          <w:szCs w:val="28"/>
        </w:rPr>
        <w:t xml:space="preserve"> может определять уровень результативности сдачи обучающимися ЕГЭ</w:t>
      </w:r>
      <w:r>
        <w:rPr>
          <w:rFonts w:ascii="Times New Roman" w:hAnsi="Times New Roman"/>
          <w:sz w:val="28"/>
          <w:szCs w:val="28"/>
        </w:rPr>
        <w:t>.</w:t>
      </w:r>
      <w:r w:rsidRPr="00C17D21">
        <w:rPr>
          <w:rFonts w:ascii="Times New Roman" w:hAnsi="Times New Roman"/>
          <w:sz w:val="28"/>
          <w:szCs w:val="28"/>
        </w:rPr>
        <w:t xml:space="preserve"> </w:t>
      </w:r>
    </w:p>
    <w:p w:rsidR="00D44858" w:rsidRPr="0053379B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7D43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79B">
        <w:rPr>
          <w:rFonts w:ascii="Times New Roman" w:hAnsi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/>
          <w:b/>
          <w:sz w:val="28"/>
          <w:szCs w:val="28"/>
        </w:rPr>
        <w:t>,</w:t>
      </w:r>
      <w:r w:rsidRPr="0053379B">
        <w:rPr>
          <w:rFonts w:ascii="Times New Roman" w:hAnsi="Times New Roman"/>
          <w:b/>
          <w:sz w:val="28"/>
          <w:szCs w:val="28"/>
        </w:rPr>
        <w:t xml:space="preserve"> в наибольшей </w:t>
      </w:r>
      <w:proofErr w:type="gramStart"/>
      <w:r w:rsidRPr="0053379B">
        <w:rPr>
          <w:rFonts w:ascii="Times New Roman" w:hAnsi="Times New Roman"/>
          <w:b/>
          <w:sz w:val="28"/>
          <w:szCs w:val="28"/>
        </w:rPr>
        <w:t>степени</w:t>
      </w:r>
      <w:proofErr w:type="gramEnd"/>
      <w:r w:rsidRPr="0053379B">
        <w:rPr>
          <w:rFonts w:ascii="Times New Roman" w:hAnsi="Times New Roman"/>
          <w:b/>
          <w:sz w:val="28"/>
          <w:szCs w:val="28"/>
        </w:rPr>
        <w:t xml:space="preserve"> определяющи</w:t>
      </w:r>
      <w:r>
        <w:rPr>
          <w:rFonts w:ascii="Times New Roman" w:hAnsi="Times New Roman"/>
          <w:b/>
          <w:sz w:val="28"/>
          <w:szCs w:val="28"/>
        </w:rPr>
        <w:t>е</w:t>
      </w:r>
      <w:r w:rsidRPr="0053379B">
        <w:rPr>
          <w:rFonts w:ascii="Times New Roman" w:hAnsi="Times New Roman"/>
          <w:b/>
          <w:sz w:val="28"/>
          <w:szCs w:val="28"/>
        </w:rPr>
        <w:t xml:space="preserve"> неудовле</w:t>
      </w:r>
      <w:r>
        <w:rPr>
          <w:rFonts w:ascii="Times New Roman" w:hAnsi="Times New Roman"/>
          <w:b/>
          <w:sz w:val="28"/>
          <w:szCs w:val="28"/>
        </w:rPr>
        <w:t>т</w:t>
      </w:r>
      <w:r w:rsidRPr="0053379B">
        <w:rPr>
          <w:rFonts w:ascii="Times New Roman" w:hAnsi="Times New Roman"/>
          <w:b/>
          <w:sz w:val="28"/>
          <w:szCs w:val="28"/>
        </w:rPr>
        <w:t xml:space="preserve">ворительные или удовлетворительные результаты ЕГЭ обучающихся. </w:t>
      </w:r>
    </w:p>
    <w:p w:rsidR="00D44858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респондентов, значительное влияние на </w:t>
      </w:r>
      <w:r w:rsidRPr="00FA6620">
        <w:rPr>
          <w:rFonts w:ascii="Times New Roman" w:hAnsi="Times New Roman"/>
          <w:sz w:val="28"/>
          <w:szCs w:val="28"/>
        </w:rPr>
        <w:t>неудовле</w:t>
      </w:r>
      <w:r>
        <w:rPr>
          <w:rFonts w:ascii="Times New Roman" w:hAnsi="Times New Roman"/>
          <w:sz w:val="28"/>
          <w:szCs w:val="28"/>
        </w:rPr>
        <w:t>т</w:t>
      </w:r>
      <w:r w:rsidRPr="00FA6620">
        <w:rPr>
          <w:rFonts w:ascii="Times New Roman" w:hAnsi="Times New Roman"/>
          <w:sz w:val="28"/>
          <w:szCs w:val="28"/>
        </w:rPr>
        <w:t>ворительные результаты обучающихся при сдаче ЕГЭ</w:t>
      </w:r>
      <w:r>
        <w:rPr>
          <w:rFonts w:ascii="Times New Roman" w:hAnsi="Times New Roman"/>
          <w:sz w:val="28"/>
          <w:szCs w:val="28"/>
        </w:rPr>
        <w:t xml:space="preserve"> не оказывает ни одна из представленных особенностей образовательного процесса. При этом руководители школ с низкими результатами определили, что на результативность оказывают влияние, но в небольшой степени, следующие характеристики образовательного процесса (в порядке убывания):</w:t>
      </w:r>
      <w:r w:rsidRPr="00C87D43">
        <w:rPr>
          <w:rFonts w:ascii="Times New Roman" w:hAnsi="Times New Roman"/>
          <w:sz w:val="28"/>
          <w:szCs w:val="28"/>
        </w:rPr>
        <w:t xml:space="preserve"> </w:t>
      </w:r>
    </w:p>
    <w:p w:rsidR="00D44858" w:rsidRPr="0051082A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82A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индивидуальных образовательных маршрутов</w:t>
      </w:r>
    </w:p>
    <w:p w:rsidR="00D44858" w:rsidRPr="0051082A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0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Отсутствие анализа пробных экзаменов     </w:t>
      </w:r>
    </w:p>
    <w:p w:rsidR="00D44858" w:rsidRPr="0051082A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8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Отсутствие мероприятий в школе по привлечению родителей (законных представителей) к подготовке к ЕГЭ</w:t>
      </w:r>
    </w:p>
    <w:p w:rsidR="00D44858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</w:t>
      </w:r>
      <w:r w:rsidRPr="008D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характеристик образовательного процесса</w:t>
      </w:r>
      <w:r w:rsidRPr="008D07B3">
        <w:rPr>
          <w:rFonts w:ascii="Times New Roman" w:hAnsi="Times New Roman"/>
          <w:sz w:val="28"/>
          <w:szCs w:val="28"/>
        </w:rPr>
        <w:t>, влияющих на неудовле</w:t>
      </w:r>
      <w:r w:rsidR="00605580">
        <w:rPr>
          <w:rFonts w:ascii="Times New Roman" w:hAnsi="Times New Roman"/>
          <w:sz w:val="28"/>
          <w:szCs w:val="28"/>
        </w:rPr>
        <w:t>т</w:t>
      </w:r>
      <w:r w:rsidRPr="008D07B3">
        <w:rPr>
          <w:rFonts w:ascii="Times New Roman" w:hAnsi="Times New Roman"/>
          <w:sz w:val="28"/>
          <w:szCs w:val="28"/>
        </w:rPr>
        <w:t xml:space="preserve">ворительные результаты ЕГЭ, представлен </w:t>
      </w:r>
      <w:r>
        <w:rPr>
          <w:rFonts w:ascii="Times New Roman" w:hAnsi="Times New Roman"/>
          <w:sz w:val="28"/>
          <w:szCs w:val="28"/>
        </w:rPr>
        <w:t>на</w:t>
      </w:r>
      <w:r w:rsidRPr="008D07B3">
        <w:rPr>
          <w:rFonts w:ascii="Times New Roman" w:hAnsi="Times New Roman"/>
          <w:sz w:val="28"/>
          <w:szCs w:val="28"/>
        </w:rPr>
        <w:t xml:space="preserve"> графике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803904"/>
            <wp:effectExtent l="12192" t="6096" r="6858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особенностей образовательного процесса в </w:t>
      </w:r>
      <w:proofErr w:type="gramStart"/>
      <w:r>
        <w:rPr>
          <w:rFonts w:ascii="Times New Roman" w:hAnsi="Times New Roman"/>
          <w:sz w:val="28"/>
          <w:szCs w:val="28"/>
        </w:rPr>
        <w:t>школах</w:t>
      </w:r>
      <w:proofErr w:type="gramEnd"/>
      <w:r>
        <w:rPr>
          <w:rFonts w:ascii="Times New Roman" w:hAnsi="Times New Roman"/>
          <w:sz w:val="28"/>
          <w:szCs w:val="28"/>
        </w:rPr>
        <w:t xml:space="preserve"> с высокими результатами</w:t>
      </w:r>
      <w:r w:rsidRPr="00FA6620">
        <w:rPr>
          <w:rFonts w:ascii="Times New Roman" w:hAnsi="Times New Roman"/>
          <w:sz w:val="28"/>
          <w:szCs w:val="28"/>
        </w:rPr>
        <w:t xml:space="preserve"> обучающихся при сдаче ЕГЭ</w:t>
      </w:r>
      <w:r>
        <w:rPr>
          <w:rFonts w:ascii="Times New Roman" w:hAnsi="Times New Roman"/>
          <w:sz w:val="28"/>
          <w:szCs w:val="28"/>
        </w:rPr>
        <w:t xml:space="preserve"> в наибольшей степени </w:t>
      </w:r>
      <w:r w:rsidRPr="00FA6620">
        <w:rPr>
          <w:rFonts w:ascii="Times New Roman" w:hAnsi="Times New Roman"/>
          <w:sz w:val="28"/>
          <w:szCs w:val="28"/>
        </w:rPr>
        <w:t xml:space="preserve">определяющих </w:t>
      </w:r>
      <w:r>
        <w:rPr>
          <w:rFonts w:ascii="Times New Roman" w:hAnsi="Times New Roman"/>
          <w:sz w:val="28"/>
          <w:szCs w:val="28"/>
        </w:rPr>
        <w:t xml:space="preserve">эти </w:t>
      </w:r>
      <w:r w:rsidRPr="00FA6620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были указаны:</w:t>
      </w:r>
    </w:p>
    <w:p w:rsidR="00D44858" w:rsidRPr="00FE536D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36D">
        <w:rPr>
          <w:rFonts w:ascii="Times New Roman" w:hAnsi="Times New Roman"/>
          <w:sz w:val="28"/>
          <w:szCs w:val="28"/>
        </w:rPr>
        <w:t xml:space="preserve">- </w:t>
      </w:r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факультативов, </w:t>
      </w:r>
      <w:proofErr w:type="spellStart"/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>элективов</w:t>
      </w:r>
      <w:proofErr w:type="spellEnd"/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>, дополнительных занятий для подготовки к сдаче экзаменов</w:t>
      </w:r>
    </w:p>
    <w:p w:rsidR="00D44858" w:rsidRPr="00FE536D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>Системность контроля и диагностики результатов обучающихся</w:t>
      </w:r>
    </w:p>
    <w:p w:rsidR="00D44858" w:rsidRPr="00FE536D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Корректировка образовательной деятельности по результатам анализа пробных экзаменов     </w:t>
      </w:r>
    </w:p>
    <w:p w:rsidR="00D44858" w:rsidRPr="00FE536D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>Наличие анализа соответствия текущих результатов и результатов государственной итоговой аттестации</w:t>
      </w:r>
    </w:p>
    <w:p w:rsidR="00D44858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3DF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 методик дифференциации</w:t>
      </w:r>
    </w:p>
    <w:p w:rsidR="00D44858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07B3">
        <w:rPr>
          <w:rFonts w:ascii="Times New Roman" w:hAnsi="Times New Roman"/>
          <w:sz w:val="28"/>
          <w:szCs w:val="28"/>
        </w:rPr>
        <w:t xml:space="preserve">Рейтинг  </w:t>
      </w:r>
      <w:r>
        <w:rPr>
          <w:rFonts w:ascii="Times New Roman" w:hAnsi="Times New Roman"/>
          <w:sz w:val="28"/>
          <w:szCs w:val="28"/>
        </w:rPr>
        <w:t>всех характеристик образовательного процесса</w:t>
      </w:r>
      <w:r w:rsidRPr="008D07B3">
        <w:rPr>
          <w:rFonts w:ascii="Times New Roman" w:hAnsi="Times New Roman"/>
          <w:sz w:val="28"/>
          <w:szCs w:val="28"/>
        </w:rPr>
        <w:t xml:space="preserve">, влияющих на </w:t>
      </w:r>
      <w:r>
        <w:rPr>
          <w:rFonts w:ascii="Times New Roman" w:hAnsi="Times New Roman"/>
          <w:sz w:val="28"/>
          <w:szCs w:val="28"/>
        </w:rPr>
        <w:t>высокие</w:t>
      </w:r>
      <w:r w:rsidRPr="008D07B3">
        <w:rPr>
          <w:rFonts w:ascii="Times New Roman" w:hAnsi="Times New Roman"/>
          <w:sz w:val="28"/>
          <w:szCs w:val="28"/>
        </w:rPr>
        <w:t xml:space="preserve"> результаты ЕГЭ, представлен </w:t>
      </w:r>
      <w:r>
        <w:rPr>
          <w:rFonts w:ascii="Times New Roman" w:hAnsi="Times New Roman"/>
          <w:sz w:val="28"/>
          <w:szCs w:val="28"/>
        </w:rPr>
        <w:t>на</w:t>
      </w:r>
      <w:r w:rsidRPr="008D07B3">
        <w:rPr>
          <w:rFonts w:ascii="Times New Roman" w:hAnsi="Times New Roman"/>
          <w:sz w:val="28"/>
          <w:szCs w:val="28"/>
        </w:rPr>
        <w:t xml:space="preserve"> графике</w:t>
      </w:r>
      <w:r>
        <w:rPr>
          <w:rFonts w:ascii="Times New Roman" w:hAnsi="Times New Roman"/>
          <w:sz w:val="28"/>
          <w:szCs w:val="28"/>
        </w:rPr>
        <w:t>:</w:t>
      </w:r>
    </w:p>
    <w:p w:rsidR="00D44858" w:rsidRPr="00FE536D" w:rsidRDefault="00065951" w:rsidP="00C17D21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1125" cy="3861054"/>
            <wp:effectExtent l="12192" t="6096" r="3683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858" w:rsidRPr="00C17D21" w:rsidRDefault="00D44858" w:rsidP="00C17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Сравнение характеристик образовательных процессов школ с низкими и высокими результатами сдачи ЕГЭ показывает, что в </w:t>
      </w:r>
      <w:r w:rsidRPr="00C17D21">
        <w:rPr>
          <w:rFonts w:ascii="Times New Roman" w:hAnsi="Times New Roman"/>
          <w:sz w:val="28"/>
          <w:szCs w:val="28"/>
        </w:rPr>
        <w:t xml:space="preserve">наибольшей степени, по мнению респондентов, влияет на результативность </w:t>
      </w:r>
      <w:r w:rsidRPr="00C17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отсутствие/наличие  анализа пробных экзаменов и корректировка образовательной деятельности по результатам этого анализа. </w:t>
      </w:r>
      <w:proofErr w:type="gramStart"/>
      <w:r w:rsidRPr="00C17D21">
        <w:rPr>
          <w:rFonts w:ascii="Times New Roman" w:hAnsi="Times New Roman"/>
          <w:sz w:val="28"/>
          <w:szCs w:val="28"/>
          <w:lang w:eastAsia="ru-RU"/>
        </w:rPr>
        <w:t xml:space="preserve">При этом руководители 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C17D21">
        <w:rPr>
          <w:rFonts w:ascii="Times New Roman" w:hAnsi="Times New Roman"/>
          <w:sz w:val="28"/>
          <w:szCs w:val="28"/>
          <w:lang w:eastAsia="ru-RU"/>
        </w:rPr>
        <w:t xml:space="preserve"> с низкими результатами считают, что положительная динамика результативности может произойти в результате внедрения индивидуальных образовательных маршрутов для обучающихся и системного привлечения родителей к подготовке обучающихся к сдаче ЕГЭ (фактор, который в школах с высокими результатами даже не рассматривается), а в успешных 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C17D21">
        <w:rPr>
          <w:rFonts w:ascii="Times New Roman" w:hAnsi="Times New Roman"/>
          <w:sz w:val="28"/>
          <w:szCs w:val="28"/>
          <w:lang w:eastAsia="ru-RU"/>
        </w:rPr>
        <w:t xml:space="preserve"> в качестве основных условий достижения высоких результатов выделяются дополнительные (помимо урочных форм) занятия, факультативы</w:t>
      </w:r>
      <w:proofErr w:type="gramEnd"/>
      <w:r w:rsidRPr="00C17D21">
        <w:rPr>
          <w:rFonts w:ascii="Times New Roman" w:hAnsi="Times New Roman"/>
          <w:sz w:val="28"/>
          <w:szCs w:val="28"/>
          <w:lang w:eastAsia="ru-RU"/>
        </w:rPr>
        <w:t xml:space="preserve"> и т.д. на основе дифференциации </w:t>
      </w:r>
      <w:proofErr w:type="gramStart"/>
      <w:r w:rsidRPr="00C17D2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17D21">
        <w:rPr>
          <w:rFonts w:ascii="Times New Roman" w:hAnsi="Times New Roman"/>
          <w:sz w:val="28"/>
          <w:szCs w:val="28"/>
          <w:lang w:eastAsia="ru-RU"/>
        </w:rPr>
        <w:t>.</w:t>
      </w:r>
    </w:p>
    <w:p w:rsidR="00D44858" w:rsidRPr="007F00F0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7F00F0">
        <w:rPr>
          <w:rFonts w:ascii="Times New Roman" w:hAnsi="Times New Roman"/>
          <w:b/>
          <w:sz w:val="28"/>
          <w:szCs w:val="28"/>
        </w:rPr>
        <w:t xml:space="preserve">4. Педагогические кадры как фактор достижения высоких результатов ЕГЭ 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2364">
        <w:rPr>
          <w:rFonts w:ascii="Times New Roman" w:hAnsi="Times New Roman"/>
          <w:sz w:val="28"/>
          <w:szCs w:val="28"/>
        </w:rPr>
        <w:t>Проблемы школ с низкими резу</w:t>
      </w:r>
      <w:r>
        <w:rPr>
          <w:rFonts w:ascii="Times New Roman" w:hAnsi="Times New Roman"/>
          <w:sz w:val="28"/>
          <w:szCs w:val="28"/>
        </w:rPr>
        <w:t xml:space="preserve">льтатами, по их мнению, связаны в большей степени с тем, что, во-первых, учителя не нацелены 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помощи учащимся при подготовке к сдаче ЕГЭ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во-вторых, существует дефицит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учителей конкретных предметов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учитель ведет несколько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учебных 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неу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комплектованность</w:t>
      </w:r>
      <w:proofErr w:type="spellEnd"/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третьих, 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коллективе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преобладают учителя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первой квалификационной категорией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четвертых, учителя нацелены на 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«натаскивание» учащихся</w:t>
      </w:r>
      <w:proofErr w:type="gramEnd"/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сдаче ЕГЭ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07B3">
        <w:rPr>
          <w:rFonts w:ascii="Times New Roman" w:hAnsi="Times New Roman"/>
          <w:sz w:val="28"/>
          <w:szCs w:val="28"/>
        </w:rPr>
        <w:t xml:space="preserve">Рейтинг  </w:t>
      </w:r>
      <w:r>
        <w:rPr>
          <w:rFonts w:ascii="Times New Roman" w:hAnsi="Times New Roman"/>
          <w:sz w:val="28"/>
          <w:szCs w:val="28"/>
        </w:rPr>
        <w:t>всех характеристик кадровых условий школ с низкими результатами представлен в таблице: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2898" cy="3470529"/>
            <wp:effectExtent l="12192" t="6096" r="381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Руководители школ с высокими результатами успешность сдачи ЕГЭ связывают в большей степени со следующими характеристиками кадровых условий:</w:t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Н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>ацеленность учителей на оказание помощи учащимся при подготовке к сдаче ЕГЭ</w:t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B6255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комплектованность кадров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593">
        <w:rPr>
          <w:rFonts w:ascii="Times New Roman" w:hAnsi="Times New Roman"/>
          <w:color w:val="000000"/>
          <w:sz w:val="28"/>
          <w:szCs w:val="28"/>
          <w:lang w:eastAsia="ru-RU"/>
        </w:rPr>
        <w:t>- Преобладание в коллективе учителей с высшей квалификационной категорией</w:t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всех характеристик кадровых условий школ с высокими результатами представлен на графике:</w:t>
      </w:r>
    </w:p>
    <w:p w:rsidR="00D44858" w:rsidRPr="00CB6255" w:rsidRDefault="00065951" w:rsidP="00C17D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33185" cy="3565398"/>
            <wp:effectExtent l="12192" t="6096" r="3048" b="381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основными дифференцирующими факторами кадровых условий  при делении школ по критерию успешности сдачи ЕГЭ становятся </w:t>
      </w:r>
      <w:r w:rsidRPr="00CB6255">
        <w:rPr>
          <w:rFonts w:ascii="Times New Roman" w:hAnsi="Times New Roman"/>
          <w:b/>
          <w:sz w:val="28"/>
          <w:szCs w:val="28"/>
        </w:rPr>
        <w:t xml:space="preserve">мотивация учителей на оказание именно помощи, а не «натаскивание» учеников </w:t>
      </w:r>
      <w:r w:rsidRPr="00CB625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подготовке к сдаче ЕГЭ, и укомплектованность кадров.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156AF7">
        <w:rPr>
          <w:rFonts w:ascii="Times New Roman" w:hAnsi="Times New Roman"/>
          <w:b/>
          <w:sz w:val="28"/>
          <w:szCs w:val="28"/>
        </w:rPr>
        <w:t xml:space="preserve"> </w:t>
      </w:r>
      <w:r w:rsidRPr="00D51DEF">
        <w:rPr>
          <w:rFonts w:ascii="Times New Roman" w:hAnsi="Times New Roman"/>
          <w:b/>
          <w:sz w:val="28"/>
          <w:szCs w:val="28"/>
        </w:rPr>
        <w:t>Профессиональная компетентность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56AF7">
        <w:rPr>
          <w:rFonts w:ascii="Times New Roman" w:hAnsi="Times New Roman"/>
          <w:sz w:val="28"/>
          <w:szCs w:val="28"/>
        </w:rPr>
        <w:t>По мнению опрошенных руководителей</w:t>
      </w:r>
      <w:r>
        <w:rPr>
          <w:rFonts w:ascii="Times New Roman" w:hAnsi="Times New Roman"/>
          <w:sz w:val="28"/>
          <w:szCs w:val="28"/>
        </w:rPr>
        <w:t xml:space="preserve"> школ с низкими результатами основные профессиональные дефициты педагоги имеют в вопросах:</w:t>
      </w:r>
    </w:p>
    <w:p w:rsidR="00D44858" w:rsidRPr="00EA21B7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1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>ормирова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обучению</w:t>
      </w:r>
    </w:p>
    <w:p w:rsidR="00D44858" w:rsidRPr="00EA21B7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>азраб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отки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индивидуальных образовательных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личностных и возрастных особенностей обучающихся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>- Владени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методами формирования самостоятельности </w:t>
      </w:r>
      <w:proofErr w:type="gramStart"/>
      <w:r w:rsidRPr="00EA21B7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07B3">
        <w:rPr>
          <w:rFonts w:ascii="Times New Roman" w:hAnsi="Times New Roman"/>
          <w:sz w:val="28"/>
          <w:szCs w:val="28"/>
        </w:rPr>
        <w:t xml:space="preserve">Рейтинг  </w:t>
      </w:r>
      <w:r>
        <w:rPr>
          <w:rFonts w:ascii="Times New Roman" w:hAnsi="Times New Roman"/>
          <w:sz w:val="28"/>
          <w:szCs w:val="28"/>
        </w:rPr>
        <w:t>всех дефицитов в знаниях</w:t>
      </w:r>
      <w:r w:rsidRPr="00EA21B7">
        <w:rPr>
          <w:rFonts w:ascii="Times New Roman" w:hAnsi="Times New Roman"/>
          <w:sz w:val="28"/>
          <w:szCs w:val="28"/>
        </w:rPr>
        <w:t>, навык</w:t>
      </w:r>
      <w:r>
        <w:rPr>
          <w:rFonts w:ascii="Times New Roman" w:hAnsi="Times New Roman"/>
          <w:sz w:val="28"/>
          <w:szCs w:val="28"/>
        </w:rPr>
        <w:t>ах</w:t>
      </w:r>
      <w:r w:rsidRPr="00EA21B7">
        <w:rPr>
          <w:rFonts w:ascii="Times New Roman" w:hAnsi="Times New Roman"/>
          <w:sz w:val="28"/>
          <w:szCs w:val="28"/>
        </w:rPr>
        <w:t>, компетенци</w:t>
      </w:r>
      <w:r>
        <w:rPr>
          <w:rFonts w:ascii="Times New Roman" w:hAnsi="Times New Roman"/>
          <w:sz w:val="28"/>
          <w:szCs w:val="28"/>
        </w:rPr>
        <w:t>ях педагогов школ с низкими результатами представлен на графике: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3940" cy="4059936"/>
            <wp:effectExtent l="12192" t="6096" r="7493" b="1143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школ с высокими результатами выделили следующие </w:t>
      </w:r>
      <w:r w:rsidRPr="006D0E34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6D0E34">
        <w:rPr>
          <w:rFonts w:ascii="Times New Roman" w:hAnsi="Times New Roman"/>
          <w:sz w:val="28"/>
          <w:szCs w:val="28"/>
        </w:rPr>
        <w:t>, навык</w:t>
      </w:r>
      <w:r>
        <w:rPr>
          <w:rFonts w:ascii="Times New Roman" w:hAnsi="Times New Roman"/>
          <w:sz w:val="28"/>
          <w:szCs w:val="28"/>
        </w:rPr>
        <w:t>и</w:t>
      </w:r>
      <w:r w:rsidRPr="006D0E34">
        <w:rPr>
          <w:rFonts w:ascii="Times New Roman" w:hAnsi="Times New Roman"/>
          <w:sz w:val="28"/>
          <w:szCs w:val="28"/>
        </w:rPr>
        <w:t>, компетенци</w:t>
      </w:r>
      <w:r>
        <w:rPr>
          <w:rFonts w:ascii="Times New Roman" w:hAnsi="Times New Roman"/>
          <w:sz w:val="28"/>
          <w:szCs w:val="28"/>
        </w:rPr>
        <w:t>и</w:t>
      </w:r>
      <w:r w:rsidRPr="006D0E34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>, которые оказывают определяющее влияние  на результативность сдачи обучающимися ЕГЭ:</w:t>
      </w:r>
    </w:p>
    <w:p w:rsidR="00D44858" w:rsidRPr="00366373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методиками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преподавания</w:t>
      </w:r>
      <w:r w:rsidRPr="00366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предметной области (областей)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366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4858" w:rsidRPr="00366373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73">
        <w:rPr>
          <w:rFonts w:ascii="Times New Roman" w:hAnsi="Times New Roman"/>
          <w:color w:val="000000"/>
          <w:sz w:val="28"/>
          <w:szCs w:val="28"/>
          <w:lang w:eastAsia="ru-RU"/>
        </w:rPr>
        <w:t>знания в основной предметной области (областях)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44858" w:rsidRPr="00366373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73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объективную оценку знаний обучающихся на основе тестирования и других методов контроля в соответствии с реальными учебными возможностями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44858" w:rsidRPr="00CB62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всех компонентов профессиональной компетентности педагогов школ с высокими результатами, влияющих на результативность ЕГЭ, представлен на графике:</w:t>
      </w:r>
    </w:p>
    <w:p w:rsidR="00D44858" w:rsidRDefault="00065951" w:rsidP="00C17D21">
      <w:pPr>
        <w:spacing w:after="0" w:line="36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17411" cy="3592068"/>
            <wp:effectExtent l="12192" t="6096" r="4572" b="2286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5662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по мнению респондентов,</w:t>
      </w:r>
      <w:r w:rsidRPr="00956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высокие результаты при сдаче обучающимися ЕГЭ достигаются высокой методической, дидактической и предметной компетентностью педагогов, тогда как низкую результативность сдачи ЕГЭ руководители связывают с </w:t>
      </w:r>
      <w:r w:rsidRPr="007D1D00">
        <w:rPr>
          <w:rFonts w:ascii="Times New Roman" w:hAnsi="Times New Roman"/>
          <w:b/>
          <w:sz w:val="28"/>
          <w:szCs w:val="28"/>
        </w:rPr>
        <w:t>невысокой компетентностью педагогов в вопросах ф</w:t>
      </w:r>
      <w:r w:rsidRPr="007D1D00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ормирования мотивации к обучению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4858" w:rsidRPr="00156AF7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Стимулирование</w:t>
      </w:r>
      <w:r w:rsidRPr="00156AF7">
        <w:rPr>
          <w:rFonts w:ascii="Times New Roman" w:hAnsi="Times New Roman"/>
          <w:b/>
          <w:sz w:val="28"/>
          <w:szCs w:val="28"/>
        </w:rPr>
        <w:t xml:space="preserve"> педагогов к достижению высоких результатов</w:t>
      </w:r>
    </w:p>
    <w:p w:rsidR="00D44858" w:rsidRPr="00156AF7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</w:t>
      </w:r>
      <w:r w:rsidRPr="00156AF7">
        <w:rPr>
          <w:rFonts w:ascii="Times New Roman" w:hAnsi="Times New Roman"/>
          <w:sz w:val="28"/>
          <w:szCs w:val="28"/>
        </w:rPr>
        <w:t>стиму</w:t>
      </w:r>
      <w:r>
        <w:rPr>
          <w:rFonts w:ascii="Times New Roman" w:hAnsi="Times New Roman"/>
          <w:sz w:val="28"/>
          <w:szCs w:val="28"/>
        </w:rPr>
        <w:t>л</w:t>
      </w:r>
      <w:r w:rsidRPr="00156AF7">
        <w:rPr>
          <w:rFonts w:ascii="Times New Roman" w:hAnsi="Times New Roman"/>
          <w:sz w:val="28"/>
          <w:szCs w:val="28"/>
        </w:rPr>
        <w:t>ирования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156AF7">
        <w:rPr>
          <w:rFonts w:ascii="Times New Roman" w:hAnsi="Times New Roman"/>
          <w:sz w:val="28"/>
          <w:szCs w:val="28"/>
        </w:rPr>
        <w:t>к достижению высоких результатов</w:t>
      </w:r>
      <w:r>
        <w:rPr>
          <w:rFonts w:ascii="Times New Roman" w:hAnsi="Times New Roman"/>
          <w:sz w:val="28"/>
          <w:szCs w:val="28"/>
        </w:rPr>
        <w:t xml:space="preserve"> и в школах с высокими, и в школах с низкими результатами одинаковы: </w:t>
      </w:r>
      <w:r w:rsidRPr="00156AF7">
        <w:rPr>
          <w:rFonts w:ascii="Times New Roman" w:hAnsi="Times New Roman"/>
          <w:b/>
          <w:sz w:val="28"/>
          <w:szCs w:val="28"/>
        </w:rPr>
        <w:t>денежные выплаты</w:t>
      </w:r>
      <w:r>
        <w:rPr>
          <w:rFonts w:ascii="Times New Roman" w:hAnsi="Times New Roman"/>
          <w:sz w:val="28"/>
          <w:szCs w:val="28"/>
        </w:rPr>
        <w:t xml:space="preserve"> (в школах с низкими результатами этот способ отметили </w:t>
      </w:r>
      <w:r w:rsidRPr="00156AF7">
        <w:rPr>
          <w:rFonts w:ascii="Times New Roman" w:hAnsi="Times New Roman"/>
          <w:b/>
          <w:sz w:val="28"/>
          <w:szCs w:val="28"/>
        </w:rPr>
        <w:t>45%</w:t>
      </w:r>
      <w:r>
        <w:rPr>
          <w:rFonts w:ascii="Times New Roman" w:hAnsi="Times New Roman"/>
          <w:sz w:val="28"/>
          <w:szCs w:val="28"/>
        </w:rPr>
        <w:t xml:space="preserve"> руководителей, в школах с высокими результатами – </w:t>
      </w:r>
      <w:r w:rsidRPr="00156AF7">
        <w:rPr>
          <w:rFonts w:ascii="Times New Roman" w:hAnsi="Times New Roman"/>
          <w:b/>
          <w:sz w:val="28"/>
          <w:szCs w:val="28"/>
        </w:rPr>
        <w:t>37%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156AF7">
        <w:rPr>
          <w:rFonts w:ascii="Times New Roman" w:hAnsi="Times New Roman"/>
          <w:b/>
          <w:sz w:val="28"/>
          <w:szCs w:val="28"/>
        </w:rPr>
        <w:t>публичное признание большого вклада в достижение 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(26% и 34% </w:t>
      </w:r>
      <w:r w:rsidRPr="00156AF7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proofErr w:type="gramStart"/>
      <w:r w:rsidRPr="00156AF7">
        <w:rPr>
          <w:rFonts w:ascii="Times New Roman" w:hAnsi="Times New Roman"/>
          <w:sz w:val="28"/>
          <w:szCs w:val="28"/>
        </w:rPr>
        <w:t xml:space="preserve">То есть никакой «тайной кнопки» </w:t>
      </w:r>
      <w:r>
        <w:rPr>
          <w:rFonts w:ascii="Times New Roman" w:hAnsi="Times New Roman"/>
          <w:sz w:val="28"/>
          <w:szCs w:val="28"/>
        </w:rPr>
        <w:t>у руководителей школ с высокими результатами для мотивации педагогов к достижению обучающими высоких результатов в сдаче ЕГЭ нет, но при этом все-таки преобладает именно публичное признание роли учителя (возможно, что при большой результативности просто не хватает денег на поощрение, либо для учителя является важным его собственное самоутверждение и самореализация, поэтому он стремится к высоки 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учеников).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B220D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Управленческая компетентность</w:t>
      </w:r>
      <w:r w:rsidRPr="00B220DE">
        <w:rPr>
          <w:rFonts w:ascii="Times New Roman" w:hAnsi="Times New Roman"/>
          <w:b/>
          <w:sz w:val="28"/>
          <w:szCs w:val="28"/>
        </w:rPr>
        <w:t xml:space="preserve"> руководителей школ.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/>
          <w:sz w:val="28"/>
          <w:szCs w:val="28"/>
        </w:rPr>
        <w:t>респондентов</w:t>
      </w:r>
      <w:proofErr w:type="gramEnd"/>
      <w:r w:rsidRPr="00C262FC">
        <w:rPr>
          <w:rFonts w:ascii="Times New Roman" w:hAnsi="Times New Roman"/>
          <w:sz w:val="28"/>
          <w:szCs w:val="28"/>
        </w:rPr>
        <w:t xml:space="preserve"> </w:t>
      </w:r>
      <w:r w:rsidRPr="00DB21F2">
        <w:rPr>
          <w:rFonts w:ascii="Times New Roman" w:hAnsi="Times New Roman"/>
          <w:sz w:val="28"/>
          <w:szCs w:val="28"/>
        </w:rPr>
        <w:t xml:space="preserve">административной команде </w:t>
      </w:r>
      <w:r w:rsidRPr="00C262FC">
        <w:rPr>
          <w:rFonts w:ascii="Times New Roman" w:hAnsi="Times New Roman"/>
          <w:sz w:val="28"/>
          <w:szCs w:val="28"/>
        </w:rPr>
        <w:t xml:space="preserve">школ с низкими результатами </w:t>
      </w:r>
      <w:r w:rsidRPr="00DB21F2">
        <w:rPr>
          <w:rFonts w:ascii="Times New Roman" w:hAnsi="Times New Roman"/>
          <w:sz w:val="28"/>
          <w:szCs w:val="28"/>
        </w:rPr>
        <w:t>больше всего не хватает для эффективной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3E7">
        <w:rPr>
          <w:rFonts w:ascii="Times New Roman" w:hAnsi="Times New Roman"/>
          <w:b/>
          <w:sz w:val="28"/>
          <w:szCs w:val="28"/>
        </w:rPr>
        <w:t>умения осуществлять мотивацию персонала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853E7">
        <w:rPr>
          <w:rFonts w:ascii="Times New Roman" w:hAnsi="Times New Roman"/>
          <w:sz w:val="28"/>
          <w:szCs w:val="28"/>
        </w:rPr>
        <w:t>на этот дефицит указал практически каждый второй опрошенный.</w:t>
      </w:r>
    </w:p>
    <w:p w:rsidR="00D44858" w:rsidRPr="00910A8B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всех </w:t>
      </w:r>
      <w:r w:rsidRPr="00910A8B">
        <w:rPr>
          <w:rFonts w:ascii="Times New Roman" w:hAnsi="Times New Roman"/>
          <w:sz w:val="28"/>
          <w:szCs w:val="28"/>
        </w:rPr>
        <w:t xml:space="preserve">компетенций, </w:t>
      </w:r>
      <w:r>
        <w:rPr>
          <w:rFonts w:ascii="Times New Roman" w:hAnsi="Times New Roman"/>
          <w:sz w:val="28"/>
          <w:szCs w:val="28"/>
        </w:rPr>
        <w:t>которых</w:t>
      </w:r>
      <w:r w:rsidRPr="00910A8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910A8B">
        <w:rPr>
          <w:rFonts w:ascii="Times New Roman" w:hAnsi="Times New Roman"/>
          <w:sz w:val="28"/>
          <w:szCs w:val="28"/>
        </w:rPr>
        <w:t>хватает для эффективной работы административной команде школ</w:t>
      </w:r>
      <w:r>
        <w:rPr>
          <w:rFonts w:ascii="Times New Roman" w:hAnsi="Times New Roman"/>
          <w:sz w:val="28"/>
          <w:szCs w:val="28"/>
        </w:rPr>
        <w:t xml:space="preserve"> с низкими результатами 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графике: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9776" cy="5994654"/>
            <wp:effectExtent l="12192" t="6096" r="8382" b="0"/>
            <wp:docPr id="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подавляющее большинство  руководителей школ с высокими результатами в качестве ведущего фактора для достижения их </w:t>
      </w:r>
      <w:r>
        <w:rPr>
          <w:rFonts w:ascii="Times New Roman" w:hAnsi="Times New Roman"/>
          <w:sz w:val="28"/>
          <w:szCs w:val="28"/>
        </w:rPr>
        <w:lastRenderedPageBreak/>
        <w:t xml:space="preserve">школами результативности отметили также именно </w:t>
      </w:r>
      <w:r w:rsidRPr="000072B4">
        <w:rPr>
          <w:rFonts w:ascii="Times New Roman" w:hAnsi="Times New Roman"/>
          <w:b/>
          <w:sz w:val="28"/>
          <w:szCs w:val="28"/>
        </w:rPr>
        <w:t>умение мотивировать</w:t>
      </w:r>
      <w:r>
        <w:rPr>
          <w:rFonts w:ascii="Times New Roman" w:hAnsi="Times New Roman"/>
          <w:sz w:val="28"/>
          <w:szCs w:val="28"/>
        </w:rPr>
        <w:t xml:space="preserve"> персонал. Таким образом, этот фактор является ключевой компетенцией в управлении кадровыми условиями обеспечения успешности школ. При этом необходимо отметить, что достижение высоких результатов обеспечивается не только мотивацией персонала, но и умением им управлять и обеспечивать рост его профессиональной компетентности, а для этого необходимо знание современных образовательных технологий и постоянная оценка качества предоставляемого образования.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B197C">
        <w:rPr>
          <w:rFonts w:ascii="Times New Roman" w:hAnsi="Times New Roman"/>
          <w:sz w:val="28"/>
          <w:szCs w:val="28"/>
        </w:rPr>
        <w:t>Рейтинг компетенций административной команды школ</w:t>
      </w:r>
      <w:r>
        <w:rPr>
          <w:rFonts w:ascii="Times New Roman" w:hAnsi="Times New Roman"/>
          <w:sz w:val="28"/>
          <w:szCs w:val="28"/>
        </w:rPr>
        <w:t xml:space="preserve"> с высокими результатами</w:t>
      </w:r>
      <w:r w:rsidRPr="002B197C">
        <w:rPr>
          <w:rFonts w:ascii="Times New Roman" w:hAnsi="Times New Roman"/>
          <w:sz w:val="28"/>
          <w:szCs w:val="28"/>
        </w:rPr>
        <w:t>, влияю</w:t>
      </w:r>
      <w:r>
        <w:rPr>
          <w:rFonts w:ascii="Times New Roman" w:hAnsi="Times New Roman"/>
          <w:sz w:val="28"/>
          <w:szCs w:val="28"/>
        </w:rPr>
        <w:t>щих</w:t>
      </w:r>
      <w:r w:rsidRPr="002B197C">
        <w:rPr>
          <w:rFonts w:ascii="Times New Roman" w:hAnsi="Times New Roman"/>
          <w:sz w:val="28"/>
          <w:szCs w:val="28"/>
        </w:rPr>
        <w:t xml:space="preserve"> на ее результативность</w:t>
      </w:r>
      <w:r>
        <w:rPr>
          <w:rFonts w:ascii="Times New Roman" w:hAnsi="Times New Roman"/>
          <w:sz w:val="28"/>
          <w:szCs w:val="28"/>
        </w:rPr>
        <w:t xml:space="preserve"> – на графике: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5585" cy="5232654"/>
            <wp:effectExtent l="12192" t="6096" r="3048" b="0"/>
            <wp:docPr id="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348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Внешние условия, влияющие</w:t>
      </w:r>
      <w:r w:rsidRPr="0023488C">
        <w:rPr>
          <w:rFonts w:ascii="Times New Roman" w:hAnsi="Times New Roman"/>
          <w:b/>
          <w:sz w:val="28"/>
          <w:szCs w:val="28"/>
        </w:rPr>
        <w:t xml:space="preserve"> на результативность школ.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225D">
        <w:rPr>
          <w:rFonts w:ascii="Times New Roman" w:hAnsi="Times New Roman"/>
          <w:sz w:val="28"/>
          <w:szCs w:val="28"/>
        </w:rPr>
        <w:lastRenderedPageBreak/>
        <w:t xml:space="preserve">Среди внешних условий, оказывающих значительно влияние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B225D">
        <w:rPr>
          <w:rFonts w:ascii="Times New Roman" w:hAnsi="Times New Roman"/>
          <w:sz w:val="28"/>
          <w:szCs w:val="28"/>
        </w:rPr>
        <w:t xml:space="preserve">неудовлетворительные результаты обучающихся при сдаче </w:t>
      </w:r>
      <w:proofErr w:type="gramStart"/>
      <w:r>
        <w:rPr>
          <w:rFonts w:ascii="Times New Roman" w:hAnsi="Times New Roman"/>
          <w:sz w:val="28"/>
          <w:szCs w:val="28"/>
        </w:rPr>
        <w:t>ЕГЭ,  опрошенные руководители выделили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7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образовательный запрос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A27368">
        <w:rPr>
          <w:rFonts w:ascii="Times New Roman" w:hAnsi="Times New Roman"/>
          <w:color w:val="000000"/>
          <w:sz w:val="28"/>
          <w:szCs w:val="28"/>
          <w:lang w:eastAsia="ru-RU"/>
        </w:rPr>
        <w:t>социальный статус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Рейтинг всех внешних факторов, влияющих на неудовлетворительные результаты – на графике:</w:t>
      </w:r>
    </w:p>
    <w:p w:rsidR="00D44858" w:rsidRPr="00A2736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44437" cy="3287268"/>
            <wp:effectExtent l="12192" t="6096" r="6096" b="2286"/>
            <wp:docPr id="10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Руководители школ с высокими результатами также на первое место по влиянию внешних факторов на результативность сдачи ЕГЭ поставили </w:t>
      </w:r>
      <w:r w:rsidRPr="00A2736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образовательный запрос родителей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401497">
        <w:rPr>
          <w:rFonts w:ascii="Times New Roman" w:hAnsi="Times New Roman"/>
          <w:color w:val="000000"/>
          <w:sz w:val="28"/>
          <w:szCs w:val="28"/>
          <w:lang w:eastAsia="ru-RU"/>
        </w:rPr>
        <w:t>Можно предположить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915C1">
        <w:rPr>
          <w:rFonts w:ascii="Times New Roman" w:hAnsi="Times New Roman"/>
          <w:color w:val="000000"/>
          <w:sz w:val="28"/>
          <w:szCs w:val="28"/>
          <w:lang w:eastAsia="ru-RU"/>
        </w:rPr>
        <w:t>при этом, что образовательные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запросы родителей в ситуациях удовлетворительной и неудовлетворительной результативности будут разные как по содержанию, так и по уровню притязаний, и этот факт требует специального исследования.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руководители школ с высокими результатами выделили среди решающих внешних факторов и наличие  методической поддержки учителей как ни муниципальном </w:t>
      </w:r>
      <w:r w:rsidR="008E081E">
        <w:rPr>
          <w:rFonts w:ascii="Times New Roman" w:hAnsi="Times New Roman"/>
          <w:color w:val="000000"/>
          <w:sz w:val="28"/>
          <w:szCs w:val="28"/>
          <w:lang w:eastAsia="ru-RU"/>
        </w:rPr>
        <w:t>уровне, так и на региональном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системы повышения квалификации), а также объем финансирования, выделяемый для обеспечения деятельности ОО. </w:t>
      </w:r>
      <w:proofErr w:type="gramEnd"/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Рейтинг всех внешних факторов, влияющих на высокие результаты – на графике: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6985" cy="2935986"/>
            <wp:effectExtent l="12192" t="6096" r="3048" b="1143"/>
            <wp:docPr id="1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Сравнивая оба рейтинга, надо отметить, что внешние факторы (</w:t>
      </w:r>
      <w:r w:rsidRPr="00267B0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наличие методической поддержки педагогов на муниципальном уровне</w:t>
      </w:r>
      <w:r w:rsidRPr="0072195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267B0A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повышения квалификации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), </w:t>
      </w:r>
      <w:r w:rsidRPr="00721950">
        <w:rPr>
          <w:rFonts w:ascii="Times New Roman" w:hAnsi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219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школ с высокими результатами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поставили на 2 и 3 место, в рейтинге школ с низкими результатами находятся на 6 и 8 месте.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Перспективы получения высоких результатов школами с низкими результатами.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F6E20">
        <w:rPr>
          <w:rFonts w:ascii="Times New Roman" w:hAnsi="Times New Roman"/>
          <w:sz w:val="28"/>
          <w:szCs w:val="28"/>
        </w:rPr>
        <w:t xml:space="preserve">Подавляющее </w:t>
      </w:r>
      <w:r>
        <w:rPr>
          <w:rFonts w:ascii="Times New Roman" w:hAnsi="Times New Roman"/>
          <w:sz w:val="28"/>
          <w:szCs w:val="28"/>
        </w:rPr>
        <w:t>большинство руководителей школ с низкими результатами ответили, что их школы скорее смогут (</w:t>
      </w:r>
      <w:r w:rsidRPr="00934319">
        <w:rPr>
          <w:rFonts w:ascii="Times New Roman" w:hAnsi="Times New Roman"/>
          <w:b/>
          <w:sz w:val="28"/>
          <w:szCs w:val="28"/>
        </w:rPr>
        <w:t>60%</w:t>
      </w:r>
      <w:r>
        <w:rPr>
          <w:rFonts w:ascii="Times New Roman" w:hAnsi="Times New Roman"/>
          <w:sz w:val="28"/>
          <w:szCs w:val="28"/>
        </w:rPr>
        <w:t xml:space="preserve"> ответивших) и определенно смогут (</w:t>
      </w:r>
      <w:r w:rsidRPr="00934319">
        <w:rPr>
          <w:rFonts w:ascii="Times New Roman" w:hAnsi="Times New Roman"/>
          <w:b/>
          <w:sz w:val="28"/>
          <w:szCs w:val="28"/>
        </w:rPr>
        <w:t>19%</w:t>
      </w:r>
      <w:r>
        <w:rPr>
          <w:rFonts w:ascii="Times New Roman" w:hAnsi="Times New Roman"/>
          <w:sz w:val="28"/>
          <w:szCs w:val="28"/>
        </w:rPr>
        <w:t xml:space="preserve">) добиться высоких результатов. Руководители школ с высокими результатами были более пессимистичны  относительно </w:t>
      </w:r>
      <w:r w:rsidRPr="00934319">
        <w:rPr>
          <w:rFonts w:ascii="Times New Roman" w:hAnsi="Times New Roman"/>
          <w:sz w:val="28"/>
          <w:szCs w:val="28"/>
        </w:rPr>
        <w:t>перспектив получения высоких результатов школами с низкими результатами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F7C3E">
        <w:rPr>
          <w:rFonts w:ascii="Times New Roman" w:hAnsi="Times New Roman"/>
          <w:b/>
          <w:sz w:val="28"/>
          <w:szCs w:val="28"/>
        </w:rPr>
        <w:t>45%</w:t>
      </w:r>
      <w:r>
        <w:rPr>
          <w:rFonts w:ascii="Times New Roman" w:hAnsi="Times New Roman"/>
          <w:sz w:val="28"/>
          <w:szCs w:val="28"/>
        </w:rPr>
        <w:t xml:space="preserve"> ответили, что скорее смогут, чем не смогут, а </w:t>
      </w:r>
      <w:r w:rsidRPr="00CF7C3E">
        <w:rPr>
          <w:rFonts w:ascii="Times New Roman" w:hAnsi="Times New Roman"/>
          <w:b/>
          <w:sz w:val="28"/>
          <w:szCs w:val="28"/>
        </w:rPr>
        <w:t>33%</w:t>
      </w:r>
      <w:r>
        <w:rPr>
          <w:rFonts w:ascii="Times New Roman" w:hAnsi="Times New Roman"/>
          <w:sz w:val="28"/>
          <w:szCs w:val="28"/>
        </w:rPr>
        <w:t xml:space="preserve"> - скорее не смогут, чем смогут. Определенная оптимистическая мотивация школ обеих категорий может послужить основой для формирования партнерства  в вопросах создания условий для того, </w:t>
      </w:r>
      <w:r w:rsidRPr="00E130CB">
        <w:rPr>
          <w:rFonts w:ascii="Times New Roman" w:hAnsi="Times New Roman"/>
          <w:sz w:val="28"/>
          <w:szCs w:val="28"/>
        </w:rPr>
        <w:t xml:space="preserve">чтобы школы </w:t>
      </w:r>
      <w:r>
        <w:rPr>
          <w:rFonts w:ascii="Times New Roman" w:hAnsi="Times New Roman"/>
          <w:sz w:val="28"/>
          <w:szCs w:val="28"/>
        </w:rPr>
        <w:t xml:space="preserve">с низкими результатами </w:t>
      </w:r>
      <w:r w:rsidRPr="00E130CB">
        <w:rPr>
          <w:rFonts w:ascii="Times New Roman" w:hAnsi="Times New Roman"/>
          <w:sz w:val="28"/>
          <w:szCs w:val="28"/>
        </w:rPr>
        <w:t>могли добиться высоких результатов работы</w:t>
      </w:r>
      <w:r>
        <w:rPr>
          <w:rFonts w:ascii="Times New Roman" w:hAnsi="Times New Roman"/>
          <w:sz w:val="28"/>
          <w:szCs w:val="28"/>
        </w:rPr>
        <w:t xml:space="preserve">. Однако, наличие у трети школ с высокими результатами сомнений в </w:t>
      </w:r>
      <w:r w:rsidRPr="00F22A89">
        <w:rPr>
          <w:rFonts w:ascii="Times New Roman" w:hAnsi="Times New Roman"/>
          <w:sz w:val="28"/>
          <w:szCs w:val="28"/>
        </w:rPr>
        <w:t>перспективе получения высоких результатов школами с низкими результатами</w:t>
      </w:r>
      <w:r>
        <w:rPr>
          <w:rFonts w:ascii="Times New Roman" w:hAnsi="Times New Roman"/>
          <w:sz w:val="28"/>
          <w:szCs w:val="28"/>
        </w:rPr>
        <w:t>, может приводить к тому, что часть школ в партнерстве участвовать не будут.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E1E99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b/>
          <w:sz w:val="28"/>
          <w:szCs w:val="28"/>
        </w:rPr>
        <w:t>Условия</w:t>
      </w:r>
      <w:r w:rsidRPr="000E1E99">
        <w:rPr>
          <w:rFonts w:ascii="Times New Roman" w:hAnsi="Times New Roman"/>
          <w:b/>
          <w:sz w:val="28"/>
          <w:szCs w:val="28"/>
        </w:rPr>
        <w:t xml:space="preserve"> достижения высоких результатов</w:t>
      </w:r>
      <w:r>
        <w:rPr>
          <w:rFonts w:ascii="Times New Roman" w:hAnsi="Times New Roman"/>
          <w:b/>
          <w:sz w:val="28"/>
          <w:szCs w:val="28"/>
        </w:rPr>
        <w:t xml:space="preserve"> школами с низкими результатами</w:t>
      </w:r>
      <w:r w:rsidRPr="000E1E99">
        <w:rPr>
          <w:rFonts w:ascii="Times New Roman" w:hAnsi="Times New Roman"/>
          <w:b/>
          <w:sz w:val="28"/>
          <w:szCs w:val="28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350DD">
        <w:rPr>
          <w:rFonts w:ascii="Times New Roman" w:hAnsi="Times New Roman"/>
          <w:sz w:val="28"/>
          <w:szCs w:val="28"/>
        </w:rPr>
        <w:t>Руководители школ с низкими результатами среди условий их для достижения школами высоких результатов</w:t>
      </w:r>
      <w:r>
        <w:rPr>
          <w:rFonts w:ascii="Times New Roman" w:hAnsi="Times New Roman"/>
          <w:sz w:val="28"/>
          <w:szCs w:val="28"/>
        </w:rPr>
        <w:t xml:space="preserve"> чаще всего указывали три фактора:</w:t>
      </w:r>
    </w:p>
    <w:p w:rsidR="00D44858" w:rsidRPr="008350D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0DD">
        <w:rPr>
          <w:rFonts w:ascii="Times New Roman" w:hAnsi="Times New Roman"/>
          <w:sz w:val="28"/>
          <w:szCs w:val="28"/>
        </w:rPr>
        <w:t xml:space="preserve">- </w:t>
      </w:r>
      <w:r w:rsidRPr="00D1355B">
        <w:rPr>
          <w:rFonts w:ascii="Times New Roman" w:hAnsi="Times New Roman"/>
          <w:color w:val="000000"/>
          <w:sz w:val="28"/>
          <w:szCs w:val="28"/>
          <w:lang w:eastAsia="ru-RU"/>
        </w:rPr>
        <w:t>Широкое и постоянное привлечения родителей к жизни школы</w:t>
      </w:r>
    </w:p>
    <w:p w:rsidR="00D44858" w:rsidRPr="008350D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1355B">
        <w:rPr>
          <w:rFonts w:ascii="Times New Roman" w:hAnsi="Times New Roman"/>
          <w:color w:val="000000"/>
          <w:sz w:val="28"/>
          <w:szCs w:val="28"/>
          <w:lang w:eastAsia="ru-RU"/>
        </w:rPr>
        <w:t>Расширение спектра дополнительных образовательных услуг</w:t>
      </w:r>
    </w:p>
    <w:p w:rsidR="00D44858" w:rsidRPr="008350D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1355B">
        <w:rPr>
          <w:rFonts w:ascii="Times New Roman" w:hAnsi="Times New Roman"/>
          <w:color w:val="000000"/>
          <w:sz w:val="28"/>
          <w:szCs w:val="28"/>
          <w:lang w:eastAsia="ru-RU"/>
        </w:rPr>
        <w:t>Повышение мотивации педагогических работников школы на получение высоких образовательных результатов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350DD">
        <w:rPr>
          <w:rFonts w:ascii="Times New Roman" w:hAnsi="Times New Roman"/>
          <w:sz w:val="28"/>
          <w:szCs w:val="28"/>
        </w:rPr>
        <w:t>Рейтинг всех условий достижения высоких результатов представлен на графике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44858" w:rsidRDefault="00065951" w:rsidP="00C17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33446" cy="5001933"/>
            <wp:effectExtent l="10368" t="5716" r="4536" b="2501"/>
            <wp:docPr id="1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руководителей школ с высокими результатами, чтобы школы с низкими результатами добились успеха, им необходимо:</w:t>
      </w:r>
    </w:p>
    <w:p w:rsidR="00D44858" w:rsidRPr="003959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955">
        <w:rPr>
          <w:rFonts w:ascii="Times New Roman" w:hAnsi="Times New Roman"/>
          <w:sz w:val="28"/>
          <w:szCs w:val="28"/>
        </w:rPr>
        <w:t xml:space="preserve">- 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>Повы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сить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школы на получение высоких образовательных результатов</w:t>
      </w:r>
    </w:p>
    <w:p w:rsidR="00D44858" w:rsidRPr="0039595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благоприятн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климат для педагогических работников и учащихся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>- 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395955">
        <w:rPr>
          <w:rFonts w:ascii="Times New Roman" w:hAnsi="Times New Roman"/>
          <w:color w:val="000000"/>
          <w:sz w:val="28"/>
          <w:szCs w:val="28"/>
          <w:lang w:eastAsia="ru-RU"/>
        </w:rPr>
        <w:t>для непрерывного профессионального роста учителей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Рейтинг условий, выстроенный руководителями школ с высокими результатами – на графике.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2324" cy="5023104"/>
            <wp:effectExtent l="12192" t="6096" r="5334" b="0"/>
            <wp:docPr id="13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4858" w:rsidRPr="00765C95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F1C33">
        <w:rPr>
          <w:rFonts w:ascii="Times New Roman" w:hAnsi="Times New Roman"/>
          <w:sz w:val="28"/>
          <w:szCs w:val="28"/>
        </w:rPr>
        <w:t xml:space="preserve">Следовательно, и руководители школ обеих категорий  </w:t>
      </w:r>
      <w:r>
        <w:rPr>
          <w:rFonts w:ascii="Times New Roman" w:hAnsi="Times New Roman"/>
          <w:sz w:val="28"/>
          <w:szCs w:val="28"/>
        </w:rPr>
        <w:t xml:space="preserve">единодушны в том, что необходимо </w:t>
      </w:r>
      <w:r w:rsidRPr="002F1C33">
        <w:rPr>
          <w:rFonts w:ascii="Times New Roman" w:hAnsi="Times New Roman"/>
          <w:b/>
          <w:sz w:val="28"/>
          <w:szCs w:val="28"/>
        </w:rPr>
        <w:t>п</w:t>
      </w:r>
      <w:r w:rsidRPr="00D1355B">
        <w:rPr>
          <w:rFonts w:ascii="Times New Roman" w:hAnsi="Times New Roman"/>
          <w:b/>
          <w:color w:val="000000"/>
          <w:sz w:val="28"/>
          <w:szCs w:val="28"/>
          <w:lang w:eastAsia="ru-RU"/>
        </w:rPr>
        <w:t>овыш</w:t>
      </w:r>
      <w:r w:rsidRPr="002F1C33">
        <w:rPr>
          <w:rFonts w:ascii="Times New Roman" w:hAnsi="Times New Roman"/>
          <w:b/>
          <w:color w:val="000000"/>
          <w:sz w:val="28"/>
          <w:szCs w:val="28"/>
          <w:lang w:eastAsia="ru-RU"/>
        </w:rPr>
        <w:t>ать</w:t>
      </w:r>
      <w:r w:rsidRPr="00D135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мотиваци</w:t>
      </w:r>
      <w:r w:rsidRPr="002F1C33"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D135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педагогических работников школы на получение высоких образовательных результатов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тветы и на этот вопрос показывают, что руководители школ с низкими результатами не видят необходимости повышать профессиональную компетентность своих педагогов, тогда как руководители школ с высокими результатами как в ответах на данный вопрос, так и во всех предыдущих указывали, что именно это условие может обеспечить высокую результативность.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 Ф</w:t>
      </w:r>
      <w:r w:rsidRPr="007F23DD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7F23DD">
        <w:rPr>
          <w:rFonts w:ascii="Times New Roman" w:hAnsi="Times New Roman"/>
          <w:b/>
          <w:sz w:val="28"/>
          <w:szCs w:val="28"/>
        </w:rPr>
        <w:t xml:space="preserve"> работы в региональной системе помощи школам с низкими результатами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F3879">
        <w:rPr>
          <w:rFonts w:ascii="Times New Roman" w:hAnsi="Times New Roman"/>
          <w:sz w:val="28"/>
          <w:szCs w:val="28"/>
        </w:rPr>
        <w:t>При ответах на вопрос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879">
        <w:rPr>
          <w:rFonts w:ascii="Times New Roman" w:hAnsi="Times New Roman"/>
          <w:sz w:val="28"/>
          <w:szCs w:val="28"/>
        </w:rPr>
        <w:t>о форм</w:t>
      </w:r>
      <w:r>
        <w:rPr>
          <w:rFonts w:ascii="Times New Roman" w:hAnsi="Times New Roman"/>
          <w:sz w:val="28"/>
          <w:szCs w:val="28"/>
        </w:rPr>
        <w:t>ах</w:t>
      </w:r>
      <w:r w:rsidRPr="008F3879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79">
        <w:rPr>
          <w:rFonts w:ascii="Times New Roman" w:hAnsi="Times New Roman"/>
          <w:sz w:val="28"/>
          <w:szCs w:val="28"/>
        </w:rPr>
        <w:t>наиболее предпочтительны</w:t>
      </w:r>
      <w:r>
        <w:rPr>
          <w:rFonts w:ascii="Times New Roman" w:hAnsi="Times New Roman"/>
          <w:sz w:val="28"/>
          <w:szCs w:val="28"/>
        </w:rPr>
        <w:t>х</w:t>
      </w:r>
      <w:r w:rsidRPr="008F3879">
        <w:rPr>
          <w:rFonts w:ascii="Times New Roman" w:hAnsi="Times New Roman"/>
          <w:sz w:val="28"/>
          <w:szCs w:val="28"/>
        </w:rPr>
        <w:t xml:space="preserve"> в региональной системе помощи школам с низкими результатами</w:t>
      </w:r>
      <w:r>
        <w:rPr>
          <w:rFonts w:ascii="Times New Roman" w:hAnsi="Times New Roman"/>
          <w:sz w:val="28"/>
          <w:szCs w:val="28"/>
        </w:rPr>
        <w:t>, руководители школ обеих категорий на первые два места поставили:</w:t>
      </w:r>
    </w:p>
    <w:p w:rsidR="00D44858" w:rsidRPr="008F3879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879">
        <w:rPr>
          <w:rFonts w:ascii="Times New Roman" w:hAnsi="Times New Roman"/>
          <w:sz w:val="28"/>
          <w:szCs w:val="28"/>
        </w:rPr>
        <w:t xml:space="preserve">- </w:t>
      </w:r>
      <w:r w:rsidRPr="0099786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методической поддержки педагогов по вопросам подготовки обучающихся к сдаче ЕГЭ на муниципальном уровне</w:t>
      </w:r>
    </w:p>
    <w:p w:rsidR="00D44858" w:rsidRPr="008F3879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8F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7869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педагогов по вопросам организации подготовки обучающихся к сдаче ЕГЭ</w:t>
      </w:r>
    </w:p>
    <w:p w:rsidR="00D44858" w:rsidRPr="00956FDA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56FDA">
        <w:rPr>
          <w:rFonts w:ascii="Times New Roman" w:hAnsi="Times New Roman"/>
          <w:sz w:val="28"/>
          <w:szCs w:val="28"/>
        </w:rPr>
        <w:t xml:space="preserve">Остальные формы работы представлены на графиках: 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68237" cy="4658868"/>
            <wp:effectExtent l="12192" t="6096" r="6096" b="2286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858" w:rsidRDefault="00065951" w:rsidP="00C17D21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7698" cy="4470654"/>
            <wp:effectExtent l="12192" t="6096" r="3810" b="0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44858" w:rsidRPr="00765C95" w:rsidRDefault="00D44858" w:rsidP="00C17D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C95">
        <w:rPr>
          <w:rFonts w:ascii="Times New Roman" w:hAnsi="Times New Roman"/>
          <w:sz w:val="28"/>
          <w:szCs w:val="28"/>
        </w:rPr>
        <w:t>Вероятно,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эффективность</w:t>
      </w:r>
      <w:r w:rsidRPr="00765C95">
        <w:rPr>
          <w:rFonts w:ascii="Times New Roman" w:hAnsi="Times New Roman"/>
          <w:sz w:val="28"/>
          <w:szCs w:val="28"/>
        </w:rPr>
        <w:t xml:space="preserve"> других форм </w:t>
      </w:r>
      <w:r>
        <w:rPr>
          <w:rFonts w:ascii="Times New Roman" w:hAnsi="Times New Roman"/>
          <w:sz w:val="28"/>
          <w:szCs w:val="28"/>
        </w:rPr>
        <w:t>помощи школам с низкими результатами на региональном уровне вызывает</w:t>
      </w:r>
      <w:r w:rsidRPr="000A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сомнение у руководителей ОО.</w:t>
      </w:r>
    </w:p>
    <w:p w:rsidR="00D44858" w:rsidRPr="00C377F6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Источники</w:t>
      </w:r>
      <w:r w:rsidRPr="00C377F6">
        <w:rPr>
          <w:rFonts w:ascii="Times New Roman" w:hAnsi="Times New Roman"/>
          <w:b/>
          <w:sz w:val="28"/>
          <w:szCs w:val="28"/>
        </w:rPr>
        <w:t xml:space="preserve"> методической поддержки школ с низкими результатами</w:t>
      </w:r>
      <w:r>
        <w:rPr>
          <w:rFonts w:ascii="Times New Roman" w:hAnsi="Times New Roman"/>
          <w:b/>
          <w:sz w:val="28"/>
          <w:szCs w:val="28"/>
        </w:rPr>
        <w:t>.</w:t>
      </w:r>
      <w:r w:rsidRPr="00C377F6">
        <w:rPr>
          <w:rFonts w:ascii="Times New Roman" w:hAnsi="Times New Roman"/>
          <w:b/>
          <w:sz w:val="28"/>
          <w:szCs w:val="28"/>
        </w:rPr>
        <w:t xml:space="preserve"> 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377F6">
        <w:rPr>
          <w:rFonts w:ascii="Times New Roman" w:hAnsi="Times New Roman"/>
          <w:sz w:val="28"/>
          <w:szCs w:val="28"/>
        </w:rPr>
        <w:t>аиболее эффективными</w:t>
      </w:r>
      <w:r>
        <w:rPr>
          <w:rFonts w:ascii="Times New Roman" w:hAnsi="Times New Roman"/>
          <w:sz w:val="28"/>
          <w:szCs w:val="28"/>
        </w:rPr>
        <w:t xml:space="preserve"> источниками </w:t>
      </w:r>
      <w:r w:rsidRPr="00904AB2">
        <w:rPr>
          <w:rFonts w:ascii="Times New Roman" w:hAnsi="Times New Roman"/>
          <w:sz w:val="28"/>
          <w:szCs w:val="28"/>
        </w:rPr>
        <w:t>методической поддержки руководители школ с низкими результатами</w:t>
      </w:r>
      <w:r>
        <w:rPr>
          <w:rFonts w:ascii="Times New Roman" w:hAnsi="Times New Roman"/>
          <w:sz w:val="28"/>
          <w:szCs w:val="28"/>
        </w:rPr>
        <w:t xml:space="preserve"> считают следующие:</w:t>
      </w:r>
    </w:p>
    <w:p w:rsidR="00D44858" w:rsidRPr="00904AB2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AB2">
        <w:rPr>
          <w:rFonts w:ascii="Times New Roman" w:hAnsi="Times New Roman"/>
          <w:sz w:val="28"/>
          <w:szCs w:val="28"/>
        </w:rPr>
        <w:t xml:space="preserve"> - </w:t>
      </w:r>
      <w:r w:rsidRPr="00904AB2">
        <w:rPr>
          <w:rFonts w:ascii="Times New Roman" w:hAnsi="Times New Roman"/>
          <w:color w:val="000000"/>
          <w:sz w:val="28"/>
          <w:szCs w:val="28"/>
          <w:lang w:eastAsia="ru-RU"/>
        </w:rPr>
        <w:t>Очные курсы повышения квалификации на базе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904AB2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НИРО;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AB2">
        <w:rPr>
          <w:rFonts w:ascii="Times New Roman" w:hAnsi="Times New Roman"/>
          <w:color w:val="000000"/>
          <w:sz w:val="28"/>
          <w:szCs w:val="28"/>
          <w:lang w:eastAsia="ru-RU"/>
        </w:rPr>
        <w:t>- Стажировка в другой школе как форма повышения квалификации</w:t>
      </w:r>
      <w:r w:rsidRPr="007C7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44858" w:rsidRPr="007C70E3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0E3">
        <w:rPr>
          <w:rFonts w:ascii="Times New Roman" w:hAnsi="Times New Roman"/>
          <w:color w:val="000000"/>
          <w:sz w:val="28"/>
          <w:szCs w:val="28"/>
          <w:lang w:eastAsia="ru-RU"/>
        </w:rPr>
        <w:t>- Более опытные коллеги (школы с высокими результатами в обучении)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названные </w:t>
      </w:r>
      <w:r w:rsidRPr="00904AB2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ями</w:t>
      </w:r>
      <w:r w:rsidRPr="00904AB2">
        <w:rPr>
          <w:rFonts w:ascii="Times New Roman" w:hAnsi="Times New Roman"/>
          <w:sz w:val="28"/>
          <w:szCs w:val="28"/>
        </w:rPr>
        <w:t xml:space="preserve"> школ с низкими результатами</w:t>
      </w:r>
      <w:r>
        <w:rPr>
          <w:rFonts w:ascii="Times New Roman" w:hAnsi="Times New Roman"/>
          <w:sz w:val="28"/>
          <w:szCs w:val="28"/>
        </w:rPr>
        <w:t xml:space="preserve"> источники </w:t>
      </w:r>
      <w:r w:rsidRPr="00904AB2">
        <w:rPr>
          <w:rFonts w:ascii="Times New Roman" w:hAnsi="Times New Roman"/>
          <w:sz w:val="28"/>
          <w:szCs w:val="28"/>
        </w:rPr>
        <w:t>методической поддержки</w:t>
      </w:r>
      <w:r>
        <w:rPr>
          <w:rFonts w:ascii="Times New Roman" w:hAnsi="Times New Roman"/>
          <w:sz w:val="28"/>
          <w:szCs w:val="28"/>
        </w:rPr>
        <w:t xml:space="preserve"> – на графике: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44437" cy="3439668"/>
            <wp:effectExtent l="12192" t="6096" r="6096" b="2286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44858" w:rsidRPr="00C55967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41884">
        <w:rPr>
          <w:rFonts w:ascii="Times New Roman" w:hAnsi="Times New Roman"/>
          <w:sz w:val="28"/>
          <w:szCs w:val="28"/>
        </w:rPr>
        <w:t>Среди форм методической поддержки</w:t>
      </w:r>
      <w:r>
        <w:rPr>
          <w:rFonts w:ascii="Times New Roman" w:hAnsi="Times New Roman"/>
          <w:sz w:val="28"/>
          <w:szCs w:val="28"/>
        </w:rPr>
        <w:t>, которую</w:t>
      </w:r>
      <w:r w:rsidRPr="00B41884">
        <w:rPr>
          <w:rFonts w:ascii="Times New Roman" w:hAnsi="Times New Roman"/>
          <w:sz w:val="28"/>
          <w:szCs w:val="28"/>
        </w:rPr>
        <w:t xml:space="preserve"> может оказать школа </w:t>
      </w:r>
      <w:r>
        <w:rPr>
          <w:rFonts w:ascii="Times New Roman" w:hAnsi="Times New Roman"/>
          <w:sz w:val="28"/>
          <w:szCs w:val="28"/>
        </w:rPr>
        <w:t xml:space="preserve">с высокими результатами </w:t>
      </w:r>
      <w:r w:rsidRPr="00B41884">
        <w:rPr>
          <w:rFonts w:ascii="Times New Roman" w:hAnsi="Times New Roman"/>
          <w:sz w:val="28"/>
          <w:szCs w:val="28"/>
        </w:rPr>
        <w:t>школам с низкими результатами</w:t>
      </w:r>
      <w:r>
        <w:rPr>
          <w:rFonts w:ascii="Times New Roman" w:hAnsi="Times New Roman"/>
          <w:sz w:val="28"/>
          <w:szCs w:val="28"/>
        </w:rPr>
        <w:t xml:space="preserve">, чуть больше половины руководителей успешных школ выделили </w:t>
      </w:r>
      <w:r w:rsidRPr="00B1237A">
        <w:rPr>
          <w:rFonts w:ascii="Times New Roman" w:hAnsi="Times New Roman"/>
          <w:b/>
          <w:sz w:val="28"/>
          <w:szCs w:val="28"/>
        </w:rPr>
        <w:t>организацию отдельных (разовых) мероприятий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6169F9">
        <w:rPr>
          <w:rFonts w:ascii="Times New Roman" w:hAnsi="Times New Roman"/>
          <w:sz w:val="28"/>
          <w:szCs w:val="28"/>
        </w:rPr>
        <w:t xml:space="preserve">Один из наиболее эффективных источников </w:t>
      </w:r>
      <w:r w:rsidRPr="00C55967">
        <w:rPr>
          <w:rFonts w:ascii="Times New Roman" w:hAnsi="Times New Roman"/>
          <w:sz w:val="28"/>
          <w:szCs w:val="28"/>
        </w:rPr>
        <w:t>методической поддержки</w:t>
      </w:r>
      <w:r>
        <w:rPr>
          <w:rFonts w:ascii="Times New Roman" w:hAnsi="Times New Roman"/>
          <w:sz w:val="28"/>
          <w:szCs w:val="28"/>
        </w:rPr>
        <w:t xml:space="preserve"> – обращение к </w:t>
      </w:r>
      <w:r w:rsidRPr="00C55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опытным </w:t>
      </w:r>
      <w:r w:rsidRPr="007C70E3">
        <w:rPr>
          <w:rFonts w:ascii="Times New Roman" w:hAnsi="Times New Roman"/>
          <w:color w:val="000000"/>
          <w:sz w:val="28"/>
          <w:szCs w:val="28"/>
          <w:lang w:eastAsia="ru-RU"/>
        </w:rPr>
        <w:t>коллег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 (</w:t>
      </w:r>
      <w:r w:rsidRPr="007C70E3">
        <w:rPr>
          <w:rFonts w:ascii="Times New Roman" w:hAnsi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C70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высокими результатами в обучении)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</w:t>
      </w:r>
      <w:r w:rsidRPr="00C55967">
        <w:rPr>
          <w:rFonts w:ascii="Times New Roman" w:hAnsi="Times New Roman"/>
          <w:sz w:val="28"/>
          <w:szCs w:val="28"/>
        </w:rPr>
        <w:t>бозначенн</w:t>
      </w:r>
      <w:r>
        <w:rPr>
          <w:rFonts w:ascii="Times New Roman" w:hAnsi="Times New Roman"/>
          <w:sz w:val="28"/>
          <w:szCs w:val="28"/>
        </w:rPr>
        <w:t>ый</w:t>
      </w:r>
      <w:r w:rsidRPr="00C55967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ями</w:t>
      </w:r>
      <w:r w:rsidRPr="00C55967">
        <w:rPr>
          <w:rFonts w:ascii="Times New Roman" w:hAnsi="Times New Roman"/>
          <w:sz w:val="28"/>
          <w:szCs w:val="28"/>
        </w:rPr>
        <w:t xml:space="preserve"> школ с низкими результатами</w:t>
      </w:r>
      <w:r>
        <w:rPr>
          <w:rFonts w:ascii="Times New Roman" w:hAnsi="Times New Roman"/>
          <w:sz w:val="28"/>
          <w:szCs w:val="28"/>
        </w:rPr>
        <w:t>, часть руководителей школ</w:t>
      </w:r>
      <w:r w:rsidRPr="00C55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высокими результатами рассматривают в качестве эффективного источника, но в форме консультаций, а стажировку </w:t>
      </w:r>
      <w:r w:rsidRPr="00FB72B2">
        <w:rPr>
          <w:rFonts w:ascii="Times New Roman" w:hAnsi="Times New Roman"/>
          <w:sz w:val="28"/>
          <w:szCs w:val="28"/>
        </w:rPr>
        <w:t xml:space="preserve">для учителей школ с низкими результатами на базе </w:t>
      </w:r>
      <w:r>
        <w:rPr>
          <w:rFonts w:ascii="Times New Roman" w:hAnsi="Times New Roman"/>
          <w:sz w:val="28"/>
          <w:szCs w:val="28"/>
        </w:rPr>
        <w:t>своей</w:t>
      </w:r>
      <w:r w:rsidRPr="00FB72B2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считают наименее эффективной (см. график ниже)</w:t>
      </w:r>
      <w:proofErr w:type="gramEnd"/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2037" cy="2677668"/>
            <wp:effectExtent l="12192" t="6096" r="6096" b="2286"/>
            <wp:docPr id="1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520F8"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>
        <w:rPr>
          <w:rFonts w:ascii="Times New Roman" w:hAnsi="Times New Roman"/>
          <w:b/>
          <w:sz w:val="28"/>
          <w:szCs w:val="28"/>
        </w:rPr>
        <w:t xml:space="preserve">Наиболее важные </w:t>
      </w:r>
      <w:r w:rsidRPr="006520F8">
        <w:rPr>
          <w:rFonts w:ascii="Times New Roman" w:hAnsi="Times New Roman"/>
          <w:b/>
          <w:sz w:val="28"/>
          <w:szCs w:val="28"/>
        </w:rPr>
        <w:t xml:space="preserve">для педагогических и руководящих работников школ </w:t>
      </w: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6520F8">
        <w:rPr>
          <w:rFonts w:ascii="Times New Roman" w:hAnsi="Times New Roman"/>
          <w:b/>
          <w:sz w:val="28"/>
          <w:szCs w:val="28"/>
        </w:rPr>
        <w:t xml:space="preserve"> освоения программ повышения квалификации 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520F8">
        <w:rPr>
          <w:rFonts w:ascii="Times New Roman" w:hAnsi="Times New Roman"/>
          <w:sz w:val="28"/>
          <w:szCs w:val="28"/>
        </w:rPr>
        <w:t>Наиболее важны</w:t>
      </w:r>
      <w:r>
        <w:rPr>
          <w:rFonts w:ascii="Times New Roman" w:hAnsi="Times New Roman"/>
          <w:sz w:val="28"/>
          <w:szCs w:val="28"/>
        </w:rPr>
        <w:t>м</w:t>
      </w:r>
      <w:r w:rsidRPr="006520F8">
        <w:rPr>
          <w:rFonts w:ascii="Times New Roman" w:hAnsi="Times New Roman"/>
          <w:sz w:val="28"/>
          <w:szCs w:val="28"/>
        </w:rPr>
        <w:t xml:space="preserve"> результатом освоения программ повышения квалификации для педагогических и руководящих работников школ с низкими </w:t>
      </w:r>
      <w:r>
        <w:rPr>
          <w:rFonts w:ascii="Times New Roman" w:hAnsi="Times New Roman"/>
          <w:sz w:val="28"/>
          <w:szCs w:val="28"/>
        </w:rPr>
        <w:t xml:space="preserve">результатами опрошенные считают </w:t>
      </w:r>
      <w:r w:rsidRPr="006520F8">
        <w:rPr>
          <w:rFonts w:ascii="Times New Roman" w:hAnsi="Times New Roman"/>
          <w:b/>
          <w:sz w:val="28"/>
          <w:szCs w:val="28"/>
        </w:rPr>
        <w:t>освоение методов мотивации к саморазвитию и самостоятельности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06DD9">
        <w:rPr>
          <w:rFonts w:ascii="Times New Roman" w:hAnsi="Times New Roman"/>
          <w:sz w:val="28"/>
          <w:szCs w:val="28"/>
        </w:rPr>
        <w:t xml:space="preserve">Рейтинг всех </w:t>
      </w:r>
      <w:proofErr w:type="gramStart"/>
      <w:r w:rsidRPr="00D06DD9">
        <w:rPr>
          <w:rFonts w:ascii="Times New Roman" w:hAnsi="Times New Roman"/>
          <w:sz w:val="28"/>
          <w:szCs w:val="28"/>
        </w:rPr>
        <w:t>результатов освоения программ повышения квалификации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 на графике: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9385" cy="3870183"/>
            <wp:effectExtent l="12192" t="6096" r="3048" b="396"/>
            <wp:docPr id="1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77AF9"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b/>
          <w:sz w:val="28"/>
          <w:szCs w:val="28"/>
        </w:rPr>
        <w:t>Наиболее эффективные</w:t>
      </w:r>
      <w:r w:rsidRPr="00677AF9">
        <w:rPr>
          <w:rFonts w:ascii="Times New Roman" w:hAnsi="Times New Roman"/>
          <w:b/>
          <w:sz w:val="28"/>
          <w:szCs w:val="28"/>
        </w:rPr>
        <w:t xml:space="preserve"> для педагогических и руководящих работников школ с низкими результатами форм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677AF9">
        <w:rPr>
          <w:rFonts w:ascii="Times New Roman" w:hAnsi="Times New Roman"/>
          <w:b/>
          <w:sz w:val="28"/>
          <w:szCs w:val="28"/>
        </w:rPr>
        <w:t xml:space="preserve"> организации деятельности слушателей н</w:t>
      </w:r>
      <w:r>
        <w:rPr>
          <w:rFonts w:ascii="Times New Roman" w:hAnsi="Times New Roman"/>
          <w:b/>
          <w:sz w:val="28"/>
          <w:szCs w:val="28"/>
        </w:rPr>
        <w:t>а курсах повышения квалификации.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77AF9">
        <w:rPr>
          <w:rFonts w:ascii="Times New Roman" w:hAnsi="Times New Roman"/>
          <w:sz w:val="28"/>
          <w:szCs w:val="28"/>
        </w:rPr>
        <w:t>Опрошенные руководители школ с низкими результатами наиболее эффективными форм</w:t>
      </w:r>
      <w:r>
        <w:rPr>
          <w:rFonts w:ascii="Times New Roman" w:hAnsi="Times New Roman"/>
          <w:sz w:val="28"/>
          <w:szCs w:val="28"/>
        </w:rPr>
        <w:t>ами</w:t>
      </w:r>
      <w:r w:rsidRPr="00677AF9">
        <w:rPr>
          <w:rFonts w:ascii="Times New Roman" w:hAnsi="Times New Roman"/>
          <w:sz w:val="28"/>
          <w:szCs w:val="28"/>
        </w:rPr>
        <w:t xml:space="preserve"> организации деятельности слушателей на курсах повышения квалификации</w:t>
      </w:r>
      <w:r>
        <w:rPr>
          <w:rFonts w:ascii="Times New Roman" w:hAnsi="Times New Roman"/>
          <w:sz w:val="28"/>
          <w:szCs w:val="28"/>
        </w:rPr>
        <w:t xml:space="preserve"> считают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формы:</w:t>
      </w:r>
    </w:p>
    <w:p w:rsidR="00D44858" w:rsidRPr="00E8337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3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77AF9">
        <w:rPr>
          <w:rFonts w:ascii="Times New Roman" w:hAnsi="Times New Roman"/>
          <w:color w:val="000000"/>
          <w:sz w:val="28"/>
          <w:szCs w:val="28"/>
          <w:lang w:eastAsia="ru-RU"/>
        </w:rPr>
        <w:t>Мастерклассы</w:t>
      </w:r>
      <w:proofErr w:type="spellEnd"/>
      <w:r w:rsidRPr="00677A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учителей, имеющих высокие результаты</w:t>
      </w:r>
    </w:p>
    <w:p w:rsidR="00D44858" w:rsidRPr="00E8337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3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77AF9">
        <w:rPr>
          <w:rFonts w:ascii="Times New Roman" w:hAnsi="Times New Roman"/>
          <w:color w:val="000000"/>
          <w:sz w:val="28"/>
          <w:szCs w:val="28"/>
          <w:lang w:eastAsia="ru-RU"/>
        </w:rPr>
        <w:t>Выездные стажировки с посещением и анализом уроков педагогов-практиков</w:t>
      </w:r>
    </w:p>
    <w:p w:rsidR="00D44858" w:rsidRPr="00E8337D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83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77AF9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 занятия с решением заданий ЕГЭ</w:t>
      </w:r>
    </w:p>
    <w:p w:rsidR="00D44858" w:rsidRDefault="00D44858" w:rsidP="00C17D2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71460">
        <w:rPr>
          <w:rFonts w:ascii="Times New Roman" w:hAnsi="Times New Roman"/>
          <w:sz w:val="28"/>
          <w:szCs w:val="28"/>
        </w:rPr>
        <w:t>Рейтинг всех форм организации деятельности слушателей на курсах повышения квалификации представлен на графике</w:t>
      </w:r>
      <w:r>
        <w:rPr>
          <w:rFonts w:ascii="Times New Roman" w:hAnsi="Times New Roman"/>
          <w:sz w:val="28"/>
          <w:szCs w:val="28"/>
        </w:rPr>
        <w:t>:</w:t>
      </w:r>
    </w:p>
    <w:p w:rsidR="00D44858" w:rsidRDefault="00065951" w:rsidP="00C17D2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4150" cy="3708654"/>
            <wp:effectExtent l="12192" t="6096" r="6858" b="0"/>
            <wp:docPr id="1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47E" w:rsidRDefault="0087347E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44858" w:rsidRDefault="00D44858" w:rsidP="00C17D2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A63B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Общие выводы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8734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 анализу </w:t>
      </w:r>
      <w:proofErr w:type="gramStart"/>
      <w:r w:rsidR="0087347E">
        <w:rPr>
          <w:rFonts w:ascii="Times New Roman" w:hAnsi="Times New Roman"/>
          <w:b/>
          <w:sz w:val="28"/>
          <w:szCs w:val="28"/>
        </w:rPr>
        <w:t>результатов исследования причин нестабильных образовательных результатов общеобразовательных организаций Нижегородской области</w:t>
      </w:r>
      <w:proofErr w:type="gramEnd"/>
    </w:p>
    <w:p w:rsidR="00D44858" w:rsidRPr="008D07B3" w:rsidRDefault="00D44858" w:rsidP="00C17D2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Представленный анализ</w:t>
      </w:r>
      <w:r w:rsidRPr="008D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в большей степени </w:t>
      </w:r>
      <w:r w:rsidRPr="008D07B3">
        <w:rPr>
          <w:rFonts w:ascii="Times New Roman" w:hAnsi="Times New Roman"/>
          <w:sz w:val="28"/>
          <w:szCs w:val="28"/>
        </w:rPr>
        <w:t>описанием тенденций</w:t>
      </w:r>
      <w:r>
        <w:rPr>
          <w:rFonts w:ascii="Times New Roman" w:hAnsi="Times New Roman"/>
          <w:sz w:val="28"/>
          <w:szCs w:val="28"/>
        </w:rPr>
        <w:t>, так как</w:t>
      </w:r>
      <w:r w:rsidRPr="008D07B3">
        <w:rPr>
          <w:rFonts w:ascii="Times New Roman" w:hAnsi="Times New Roman"/>
          <w:sz w:val="28"/>
          <w:szCs w:val="28"/>
        </w:rPr>
        <w:t xml:space="preserve"> по ответам участников опроса трудно с очевидность</w:t>
      </w:r>
      <w:r>
        <w:rPr>
          <w:rFonts w:ascii="Times New Roman" w:hAnsi="Times New Roman"/>
          <w:sz w:val="28"/>
          <w:szCs w:val="28"/>
        </w:rPr>
        <w:t>ю</w:t>
      </w:r>
      <w:r w:rsidRPr="008D07B3">
        <w:rPr>
          <w:rFonts w:ascii="Times New Roman" w:hAnsi="Times New Roman"/>
          <w:sz w:val="28"/>
          <w:szCs w:val="28"/>
        </w:rPr>
        <w:t xml:space="preserve"> определить степень влияния </w:t>
      </w:r>
      <w:r>
        <w:rPr>
          <w:rFonts w:ascii="Times New Roman" w:hAnsi="Times New Roman"/>
          <w:sz w:val="28"/>
          <w:szCs w:val="28"/>
        </w:rPr>
        <w:t>тех или иных факторов, определяющих</w:t>
      </w:r>
      <w:r w:rsidRPr="008D07B3">
        <w:rPr>
          <w:rFonts w:ascii="Times New Roman" w:hAnsi="Times New Roman"/>
          <w:sz w:val="28"/>
          <w:szCs w:val="28"/>
        </w:rPr>
        <w:t xml:space="preserve"> неудовле</w:t>
      </w:r>
      <w:r>
        <w:rPr>
          <w:rFonts w:ascii="Times New Roman" w:hAnsi="Times New Roman"/>
          <w:sz w:val="28"/>
          <w:szCs w:val="28"/>
        </w:rPr>
        <w:t>т</w:t>
      </w:r>
      <w:r w:rsidRPr="008D07B3">
        <w:rPr>
          <w:rFonts w:ascii="Times New Roman" w:hAnsi="Times New Roman"/>
          <w:sz w:val="28"/>
          <w:szCs w:val="28"/>
        </w:rPr>
        <w:t>ворительные результаты ЕГЭ</w:t>
      </w:r>
      <w:r w:rsidRPr="00A2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D07B3">
        <w:rPr>
          <w:rFonts w:ascii="Times New Roman" w:hAnsi="Times New Roman"/>
          <w:sz w:val="28"/>
          <w:szCs w:val="28"/>
        </w:rPr>
        <w:t>школы с низкими результатами при опросе нечетко идентифицировали факторы, п</w:t>
      </w:r>
      <w:r>
        <w:rPr>
          <w:rFonts w:ascii="Times New Roman" w:hAnsi="Times New Roman"/>
          <w:sz w:val="28"/>
          <w:szCs w:val="28"/>
        </w:rPr>
        <w:t>риводящие к низкими результатам).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Возможно, это объясняется, во-первых, нежеланием руководителей школ снижать</w:t>
      </w:r>
      <w:r w:rsidRPr="008D07B3">
        <w:rPr>
          <w:rFonts w:ascii="Times New Roman" w:hAnsi="Times New Roman"/>
          <w:sz w:val="28"/>
          <w:szCs w:val="28"/>
        </w:rPr>
        <w:t xml:space="preserve"> свой имидж и имидж школы</w:t>
      </w:r>
      <w:r>
        <w:rPr>
          <w:rFonts w:ascii="Times New Roman" w:hAnsi="Times New Roman"/>
          <w:sz w:val="28"/>
          <w:szCs w:val="28"/>
        </w:rPr>
        <w:t>,</w:t>
      </w:r>
      <w:r w:rsidRPr="008D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открывая</w:t>
      </w:r>
      <w:r w:rsidRPr="008D07B3">
        <w:rPr>
          <w:rFonts w:ascii="Times New Roman" w:hAnsi="Times New Roman"/>
          <w:sz w:val="28"/>
          <w:szCs w:val="28"/>
        </w:rPr>
        <w:t xml:space="preserve"> информацию о причинах не</w:t>
      </w:r>
      <w:r>
        <w:rPr>
          <w:rFonts w:ascii="Times New Roman" w:hAnsi="Times New Roman"/>
          <w:sz w:val="28"/>
          <w:szCs w:val="28"/>
        </w:rPr>
        <w:t>удовлетворительных результатов, во-вторых, их неготовностью открыто признать тот факт, что низкие результаты обусловлены не только внешними (в большинстве случаев под этим имеется в виду н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>е участие родителей в жизни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, но и внутренними причинами.</w:t>
      </w:r>
      <w:r w:rsidRPr="008D07B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7347E" w:rsidRDefault="00D44858" w:rsidP="0087347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опрошенных низкие образовательные результаты определяются </w:t>
      </w:r>
      <w:r w:rsidRPr="003749EA">
        <w:rPr>
          <w:rFonts w:ascii="Times New Roman" w:hAnsi="Times New Roman"/>
          <w:sz w:val="28"/>
          <w:szCs w:val="28"/>
        </w:rPr>
        <w:t xml:space="preserve">невысоким знанием предметных областей и низкой мотивацией к достижению успеха обучающихся при наблюдаемой несбалансированности текущих и итоговых оценок качества </w:t>
      </w:r>
      <w:proofErr w:type="spellStart"/>
      <w:r w:rsidRPr="003749E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749EA">
        <w:rPr>
          <w:rFonts w:ascii="Times New Roman" w:hAnsi="Times New Roman"/>
          <w:sz w:val="28"/>
          <w:szCs w:val="28"/>
        </w:rPr>
        <w:t xml:space="preserve"> и выделяемой в качестве одной из проблем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несистемности</w:t>
      </w:r>
      <w:proofErr w:type="spellEnd"/>
      <w:r w:rsidRPr="00390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диагностики результатов педагогической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49EA">
        <w:rPr>
          <w:rFonts w:ascii="Times New Roman" w:hAnsi="Times New Roman"/>
          <w:sz w:val="28"/>
          <w:szCs w:val="28"/>
        </w:rPr>
        <w:t xml:space="preserve">Возможно, именно достижение сбалансированности </w:t>
      </w:r>
      <w:r>
        <w:rPr>
          <w:rFonts w:ascii="Times New Roman" w:hAnsi="Times New Roman"/>
          <w:sz w:val="28"/>
          <w:szCs w:val="28"/>
        </w:rPr>
        <w:t xml:space="preserve">текущего и итогового оценивания (не по форме, а по содержанию) и системности контроля и диагностики результатов педагогической деятельности </w:t>
      </w:r>
      <w:r w:rsidRPr="003749EA">
        <w:rPr>
          <w:rFonts w:ascii="Times New Roman" w:hAnsi="Times New Roman"/>
          <w:sz w:val="28"/>
          <w:szCs w:val="28"/>
        </w:rPr>
        <w:t>может дать возможность школам с низкими результатами стать успешными в результативности сдачи ЕГЭ.</w:t>
      </w:r>
    </w:p>
    <w:p w:rsidR="0087347E" w:rsidRDefault="0087347E" w:rsidP="0087347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081E">
        <w:rPr>
          <w:rFonts w:ascii="Times New Roman" w:hAnsi="Times New Roman"/>
          <w:sz w:val="28"/>
          <w:szCs w:val="28"/>
        </w:rPr>
        <w:t>Наличие высокой п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рофессиональной</w:t>
      </w:r>
      <w:r w:rsidRPr="00815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квалификации педагогов, системы контроля и диагностики результатов педагогической деятельности, системы методической работы и определенным образом организованного образовательного процесса </w:t>
      </w:r>
      <w:r w:rsidRPr="008E081E">
        <w:rPr>
          <w:rFonts w:ascii="Times New Roman" w:hAnsi="Times New Roman"/>
          <w:sz w:val="28"/>
          <w:szCs w:val="28"/>
        </w:rPr>
        <w:t>являются факторами, бесспорно определяющими уровень результативности сдачи обучающимися ЕГЭ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4858" w:rsidRPr="007564BA">
        <w:rPr>
          <w:rFonts w:ascii="Times New Roman" w:hAnsi="Times New Roman"/>
          <w:sz w:val="28"/>
          <w:szCs w:val="28"/>
        </w:rPr>
        <w:t xml:space="preserve">На получение неудовлетворительных результаты ЕГЭ обучающихся влияют </w:t>
      </w:r>
      <w:r w:rsidR="00D44858">
        <w:rPr>
          <w:rFonts w:ascii="Times New Roman" w:hAnsi="Times New Roman"/>
          <w:sz w:val="28"/>
          <w:szCs w:val="28"/>
        </w:rPr>
        <w:t>о</w:t>
      </w:r>
      <w:r w:rsidR="00D44858" w:rsidRPr="00756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собенности </w:t>
      </w:r>
      <w:r w:rsidR="00D448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собственно </w:t>
      </w:r>
      <w:r w:rsidR="00D44858" w:rsidRPr="00756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D44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D44858" w:rsidRPr="00390E6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процесса</w:t>
      </w:r>
      <w:r w:rsidR="00D44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ней организованного, а также отсутствие возможности </w:t>
      </w:r>
      <w:r w:rsidR="00D44858" w:rsidRPr="00390E6F">
        <w:rPr>
          <w:rFonts w:ascii="Times New Roman" w:hAnsi="Times New Roman"/>
          <w:color w:val="000000"/>
          <w:sz w:val="28"/>
          <w:szCs w:val="28"/>
          <w:lang w:eastAsia="ru-RU"/>
        </w:rPr>
        <w:t>отбор</w:t>
      </w:r>
      <w:r w:rsidR="00D44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более компетентных </w:t>
      </w:r>
      <w:r w:rsidR="00D44858" w:rsidRPr="00390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 для работы в 10—11 классах</w:t>
      </w:r>
      <w:r w:rsidR="00D44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44858" w:rsidRPr="0087347E" w:rsidRDefault="0087347E" w:rsidP="0087347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основных требований к учителю в контексте данного исследования </w:t>
      </w:r>
      <w:r w:rsidRPr="008E081E">
        <w:rPr>
          <w:rFonts w:ascii="Times New Roman" w:hAnsi="Times New Roman"/>
          <w:sz w:val="28"/>
          <w:szCs w:val="28"/>
        </w:rPr>
        <w:t xml:space="preserve">становятся его </w:t>
      </w:r>
      <w:proofErr w:type="spellStart"/>
      <w:r w:rsidRPr="008E081E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8E081E">
        <w:rPr>
          <w:rFonts w:ascii="Times New Roman" w:hAnsi="Times New Roman"/>
          <w:sz w:val="28"/>
          <w:szCs w:val="28"/>
        </w:rPr>
        <w:t xml:space="preserve"> на оказание именно помощи, а не «натаскивание» учеников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при подготовке к сдаче ЕГЭ,</w:t>
      </w:r>
      <w:r w:rsidRPr="008E081E">
        <w:rPr>
          <w:rFonts w:ascii="Times New Roman" w:hAnsi="Times New Roman"/>
          <w:sz w:val="28"/>
          <w:szCs w:val="28"/>
        </w:rPr>
        <w:t xml:space="preserve"> высокая методическая, дидактическая и предметная компетентность, </w:t>
      </w:r>
      <w:r>
        <w:rPr>
          <w:rFonts w:ascii="Times New Roman" w:hAnsi="Times New Roman"/>
          <w:sz w:val="28"/>
          <w:szCs w:val="28"/>
        </w:rPr>
        <w:t>в рамках этой компетентности</w:t>
      </w:r>
      <w:r w:rsidRPr="008E081E">
        <w:rPr>
          <w:rFonts w:ascii="Times New Roman" w:hAnsi="Times New Roman"/>
          <w:sz w:val="28"/>
          <w:szCs w:val="28"/>
        </w:rPr>
        <w:t xml:space="preserve"> на особом месте находится умение ф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ормировать мотивацию обучающихся  к обучению.</w:t>
      </w:r>
      <w:r w:rsidRPr="008E0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081E">
        <w:rPr>
          <w:rFonts w:ascii="Times New Roman" w:hAnsi="Times New Roman"/>
          <w:sz w:val="28"/>
          <w:szCs w:val="28"/>
        </w:rPr>
        <w:t>Руководители обеих категорий  школ единодушны в том, что необходимо п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овышать мотивацию педагогических работников школы на получение высоких образовательных результатов, при этом способы стимулирования выделяют разные (в успешных школах преобладают моральные, в неуспешных – материальные).</w:t>
      </w:r>
      <w:proofErr w:type="gramEnd"/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школс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низкими результатами  не видит методическую работу</w:t>
      </w:r>
      <w:r w:rsidRPr="00756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(и как следствие не может</w:t>
      </w:r>
      <w:r w:rsidRPr="00756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(не умеет?) ее организовать) в качестве механизма</w:t>
      </w:r>
      <w:r w:rsidRPr="002B1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профессионального роста учителей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4858" w:rsidRPr="008E081E" w:rsidRDefault="00D44858" w:rsidP="00C17D2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В органи</w:t>
      </w:r>
      <w:r w:rsidR="00873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зации образовательного процесса, нацеленного на высокие образовательные результаты,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обязательном порядке </w:t>
      </w:r>
      <w:proofErr w:type="spellStart"/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присутствов</w:t>
      </w:r>
      <w:r w:rsidR="0087347E">
        <w:rPr>
          <w:rFonts w:ascii="Times New Roman" w:hAnsi="Times New Roman"/>
          <w:color w:val="000000"/>
          <w:sz w:val="28"/>
          <w:szCs w:val="28"/>
          <w:lang w:eastAsia="ru-RU"/>
        </w:rPr>
        <w:t>ует</w:t>
      </w:r>
      <w:proofErr w:type="spellEnd"/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текущих результатов, результатов пробных и итоговых экзаменов и корректировка образовательной деятельности по результатам этого анализа. </w:t>
      </w:r>
      <w:r w:rsidR="00873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школах с низкими результатами эти факторы </w:t>
      </w:r>
      <w:r w:rsidR="00351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необходимые </w:t>
      </w:r>
      <w:r w:rsidR="00873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35152E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</w:t>
      </w:r>
      <w:r w:rsidR="00873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E081E">
        <w:rPr>
          <w:rFonts w:ascii="Times New Roman" w:hAnsi="Times New Roman"/>
          <w:sz w:val="28"/>
          <w:szCs w:val="28"/>
          <w:lang w:eastAsia="ru-RU"/>
        </w:rPr>
        <w:t xml:space="preserve"> качестве условий достижения высоких результатов </w:t>
      </w:r>
      <w:r w:rsidR="0087347E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8E081E">
        <w:rPr>
          <w:rFonts w:ascii="Times New Roman" w:hAnsi="Times New Roman"/>
          <w:sz w:val="28"/>
          <w:szCs w:val="28"/>
          <w:lang w:eastAsia="ru-RU"/>
        </w:rPr>
        <w:t xml:space="preserve">выделяются дополнительные (помимо урочных форм) занятия, факультативы и т.д. на основе дифференциации обучающихся и внедрения индивидуальных образовательных маршрутов </w:t>
      </w:r>
      <w:proofErr w:type="gramStart"/>
      <w:r w:rsidRPr="008E081E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8E081E"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D44858" w:rsidRPr="008E081E" w:rsidRDefault="00D44858" w:rsidP="00C17D2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081E">
        <w:rPr>
          <w:rFonts w:ascii="Times New Roman" w:hAnsi="Times New Roman"/>
          <w:sz w:val="28"/>
          <w:szCs w:val="28"/>
        </w:rPr>
        <w:t>В управленческой компетентности ключевой компетенцией, которой не хватает руководителям</w:t>
      </w:r>
      <w:r w:rsidR="006E3127" w:rsidRPr="008E081E">
        <w:rPr>
          <w:rFonts w:ascii="Times New Roman" w:hAnsi="Times New Roman"/>
          <w:sz w:val="28"/>
          <w:szCs w:val="28"/>
        </w:rPr>
        <w:t xml:space="preserve"> школ с низкими результатами,</w:t>
      </w:r>
      <w:r w:rsidR="000C2C22">
        <w:rPr>
          <w:rFonts w:ascii="Times New Roman" w:hAnsi="Times New Roman"/>
          <w:sz w:val="28"/>
          <w:szCs w:val="28"/>
        </w:rPr>
        <w:t xml:space="preserve"> по их мнению, </w:t>
      </w:r>
      <w:r w:rsidR="006E3127" w:rsidRPr="008E081E">
        <w:rPr>
          <w:rFonts w:ascii="Times New Roman" w:hAnsi="Times New Roman"/>
          <w:sz w:val="28"/>
          <w:szCs w:val="28"/>
        </w:rPr>
        <w:t xml:space="preserve"> </w:t>
      </w:r>
      <w:r w:rsidRPr="008E081E">
        <w:rPr>
          <w:rFonts w:ascii="Times New Roman" w:hAnsi="Times New Roman"/>
          <w:sz w:val="28"/>
          <w:szCs w:val="28"/>
        </w:rPr>
        <w:t xml:space="preserve">является умение мотивировать персонал. При этом необходимо отметить, что достижение высоких результатов обеспечивается не только мотивацией персонала, но и умением им управлять и обеспечивать рост его профессиональной </w:t>
      </w:r>
      <w:r w:rsidRPr="008E081E">
        <w:rPr>
          <w:rFonts w:ascii="Times New Roman" w:hAnsi="Times New Roman"/>
          <w:sz w:val="28"/>
          <w:szCs w:val="28"/>
        </w:rPr>
        <w:lastRenderedPageBreak/>
        <w:t>компетентности, а для этого необходимо знание современных образовательных технологий (т.е. руководитель должен занимать позицию педагогического лидера) и постоянная оценка качества предоставляемого образования.</w:t>
      </w:r>
    </w:p>
    <w:p w:rsidR="000C2C22" w:rsidRDefault="00D44858" w:rsidP="000C2C22">
      <w:pPr>
        <w:numPr>
          <w:ilvl w:val="0"/>
          <w:numId w:val="1"/>
        </w:numPr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8E081E">
        <w:rPr>
          <w:rFonts w:ascii="Times New Roman" w:hAnsi="Times New Roman"/>
          <w:sz w:val="28"/>
          <w:szCs w:val="28"/>
        </w:rPr>
        <w:t>Выделяя в качестве одного из ведущих внутренних факторов</w:t>
      </w:r>
      <w:r w:rsidR="0035152E">
        <w:rPr>
          <w:rFonts w:ascii="Times New Roman" w:hAnsi="Times New Roman"/>
          <w:sz w:val="28"/>
          <w:szCs w:val="28"/>
        </w:rPr>
        <w:t xml:space="preserve"> школ с низкими результатами</w:t>
      </w:r>
      <w:r w:rsidRPr="008E081E">
        <w:rPr>
          <w:rFonts w:ascii="Times New Roman" w:hAnsi="Times New Roman"/>
          <w:sz w:val="28"/>
          <w:szCs w:val="28"/>
        </w:rPr>
        <w:t xml:space="preserve">, влияющих на </w:t>
      </w:r>
      <w:r w:rsidR="0035152E">
        <w:rPr>
          <w:rFonts w:ascii="Times New Roman" w:hAnsi="Times New Roman"/>
          <w:sz w:val="28"/>
          <w:szCs w:val="28"/>
        </w:rPr>
        <w:t xml:space="preserve">их </w:t>
      </w:r>
      <w:r w:rsidRPr="008E081E">
        <w:rPr>
          <w:rFonts w:ascii="Times New Roman" w:hAnsi="Times New Roman"/>
          <w:sz w:val="28"/>
          <w:szCs w:val="28"/>
        </w:rPr>
        <w:t>результативность, неучастие родителей в жизни школы, одним из ведущих внешних факторов респонденты признают о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бразовательный запрос родителей. </w:t>
      </w:r>
      <w:r w:rsidR="0035152E">
        <w:rPr>
          <w:rFonts w:ascii="Times New Roman" w:hAnsi="Times New Roman"/>
          <w:color w:val="000000"/>
          <w:sz w:val="28"/>
          <w:szCs w:val="28"/>
          <w:lang w:eastAsia="ru-RU"/>
        </w:rPr>
        <w:t>При этом</w:t>
      </w:r>
      <w:proofErr w:type="gramStart"/>
      <w:r w:rsidR="003515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351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152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="008E081E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сли образовательный запрос родителей не сформирован, то ожидания по поводу участия родителей в жизни школы, скорее всего, не обоснованы. </w:t>
      </w:r>
    </w:p>
    <w:p w:rsidR="00D44858" w:rsidRPr="000C2C22" w:rsidRDefault="0035152E" w:rsidP="000C2C22">
      <w:pPr>
        <w:numPr>
          <w:ilvl w:val="0"/>
          <w:numId w:val="1"/>
        </w:numPr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Качество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требует дополнительного исследования, т</w:t>
      </w:r>
      <w:r w:rsid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опрашиваемые </w:t>
      </w:r>
      <w:r w:rsidR="008E081E">
        <w:rPr>
          <w:rFonts w:ascii="Times New Roman" w:hAnsi="Times New Roman"/>
          <w:color w:val="000000"/>
          <w:sz w:val="28"/>
          <w:szCs w:val="28"/>
          <w:lang w:eastAsia="ru-RU"/>
        </w:rPr>
        <w:t>школы и с высокой и с низкой образовательной результативностью имеют одинако</w:t>
      </w:r>
      <w:r w:rsidR="000C2C22">
        <w:rPr>
          <w:rFonts w:ascii="Times New Roman" w:hAnsi="Times New Roman"/>
          <w:color w:val="000000"/>
          <w:sz w:val="28"/>
          <w:szCs w:val="28"/>
          <w:lang w:eastAsia="ru-RU"/>
        </w:rPr>
        <w:t>вый социальный контекст.</w:t>
      </w:r>
    </w:p>
    <w:p w:rsidR="00D44858" w:rsidRPr="008E081E" w:rsidRDefault="0087347E" w:rsidP="00C17D21">
      <w:pPr>
        <w:numPr>
          <w:ilvl w:val="0"/>
          <w:numId w:val="1"/>
        </w:numPr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качестве инструмент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улучшения ситуации можно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рассматривать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(причем с конкретным содержанием: по вопросам организации подготовки обучающихся к сдаче ЕГЭ) методической поддержки на муниципальном уровне и повышени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квалификации педагогов в очной форме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4858" w:rsidRPr="008E081E">
        <w:rPr>
          <w:rFonts w:ascii="Times New Roman" w:hAnsi="Times New Roman"/>
          <w:sz w:val="28"/>
          <w:szCs w:val="28"/>
        </w:rPr>
        <w:t>партнерство успешных и неуспешных школ в вопросах создания условий для того, чтобы школы с низкими результатами могли добиться высоких результатов работы</w:t>
      </w:r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Формами такого партнерства могут стать стажировки в другой школе как форма повышения квалификации</w:t>
      </w:r>
      <w:r w:rsidR="00D44858" w:rsidRPr="008E081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взаимодействие с более опытными коллегами из школ с высокими результатами в обучении. </w:t>
      </w:r>
      <w:r w:rsidR="00D44858" w:rsidRPr="008E081E">
        <w:rPr>
          <w:rFonts w:ascii="Times New Roman" w:hAnsi="Times New Roman"/>
          <w:sz w:val="28"/>
          <w:szCs w:val="28"/>
        </w:rPr>
        <w:t xml:space="preserve">Однако, наличие у трети школ с высокими результатами сомнений в перспективе получения высоких результатов школами с низкими результатами, может приводить к тому, что часть школ в партнерстве участвовать не будут. Среди форм методической поддержки, которую может оказать школа с высокими результатами школам с низкими результатами, чуть больше половины руководителей успешных школ выделили организацию отдельных (разовых) мероприятий. Обращение к  более опытным </w:t>
      </w:r>
      <w:r w:rsidR="00D44858"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коллегам </w:t>
      </w:r>
      <w:r w:rsidR="00D44858" w:rsidRPr="008E081E">
        <w:rPr>
          <w:rFonts w:ascii="Times New Roman" w:hAnsi="Times New Roman"/>
          <w:sz w:val="28"/>
          <w:szCs w:val="28"/>
        </w:rPr>
        <w:t xml:space="preserve">часть руководителей школ с высокими результатами рассматривают в качестве эффективного источника, но в форме консультаций, а стажировку для учителей школ с низкими результатами </w:t>
      </w:r>
      <w:r w:rsidR="00D44858" w:rsidRPr="008E081E">
        <w:rPr>
          <w:rFonts w:ascii="Times New Roman" w:hAnsi="Times New Roman"/>
          <w:sz w:val="28"/>
          <w:szCs w:val="28"/>
        </w:rPr>
        <w:lastRenderedPageBreak/>
        <w:t>на базе своей школы считают наименее эффективной.</w:t>
      </w:r>
      <w:r>
        <w:rPr>
          <w:rFonts w:ascii="Times New Roman" w:hAnsi="Times New Roman"/>
          <w:sz w:val="28"/>
          <w:szCs w:val="28"/>
        </w:rPr>
        <w:t xml:space="preserve"> Факт высказанных сомнений по поводу того, что школы с низкими результатами могут улучшить свои результаты, требует дополнительного изучения.</w:t>
      </w:r>
    </w:p>
    <w:p w:rsidR="00D44858" w:rsidRPr="008E081E" w:rsidRDefault="00D44858" w:rsidP="00C17D2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081E">
        <w:rPr>
          <w:rFonts w:ascii="Times New Roman" w:hAnsi="Times New Roman"/>
          <w:sz w:val="28"/>
          <w:szCs w:val="28"/>
        </w:rPr>
        <w:t xml:space="preserve"> В контексте данной проблемы к программам повышения квалификации руководители школ предъявляют следующее требование: они должны обеспечить педагогу освоение методов мотивации к саморазвитию и самостоятельности обучающихся (формирование психолого-педагогической компетентности). Наиболее востребованными и эффективными формами организации деятельности слушателей на курсах повышения квалификации являются </w:t>
      </w:r>
      <w:proofErr w:type="spellStart"/>
      <w:r w:rsidRPr="008E081E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Pr="008E081E">
        <w:rPr>
          <w:rFonts w:ascii="Times New Roman" w:hAnsi="Times New Roman"/>
          <w:sz w:val="28"/>
          <w:szCs w:val="28"/>
        </w:rPr>
        <w:t xml:space="preserve"> формы:</w:t>
      </w:r>
    </w:p>
    <w:p w:rsidR="00D44858" w:rsidRPr="008E081E" w:rsidRDefault="00D44858" w:rsidP="00C17D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Мастерклассы</w:t>
      </w:r>
      <w:proofErr w:type="spellEnd"/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учителей, имеющих высокие результаты</w:t>
      </w:r>
    </w:p>
    <w:p w:rsidR="00D44858" w:rsidRPr="008E081E" w:rsidRDefault="00D44858" w:rsidP="00C17D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- Выездные стажировки с посещением и анализом уроков педагогов-практиков</w:t>
      </w:r>
    </w:p>
    <w:p w:rsidR="00D44858" w:rsidRDefault="00D44858" w:rsidP="00C17D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1E">
        <w:rPr>
          <w:rFonts w:ascii="Times New Roman" w:hAnsi="Times New Roman"/>
          <w:color w:val="000000"/>
          <w:sz w:val="28"/>
          <w:szCs w:val="28"/>
          <w:lang w:eastAsia="ru-RU"/>
        </w:rPr>
        <w:t>- Практические занятия с решением заданий ЕГЭ</w:t>
      </w:r>
    </w:p>
    <w:p w:rsidR="00904D6F" w:rsidRDefault="00904D6F" w:rsidP="00904D6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04D6F" w:rsidRDefault="00904D6F" w:rsidP="00904D6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Рекомендации по </w:t>
      </w:r>
      <w:r>
        <w:rPr>
          <w:rFonts w:ascii="Times New Roman" w:hAnsi="Times New Roman"/>
          <w:b/>
          <w:sz w:val="28"/>
          <w:szCs w:val="28"/>
        </w:rPr>
        <w:t xml:space="preserve">результатам </w:t>
      </w:r>
      <w:proofErr w:type="gramStart"/>
      <w:r>
        <w:rPr>
          <w:rFonts w:ascii="Times New Roman" w:hAnsi="Times New Roman"/>
          <w:b/>
          <w:sz w:val="28"/>
          <w:szCs w:val="28"/>
        </w:rPr>
        <w:t>анализа причин нестабильных образовательных результатов общеобразовательных организаций Нижегородской области</w:t>
      </w:r>
      <w:proofErr w:type="gramEnd"/>
    </w:p>
    <w:p w:rsidR="00904D6F" w:rsidRPr="00904D6F" w:rsidRDefault="00904D6F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4D6F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органов, осуществляющих управление образованием в муниципальных районах Нижегородской области, </w:t>
      </w:r>
      <w:r w:rsidRPr="00904D6F">
        <w:rPr>
          <w:rFonts w:ascii="Times New Roman" w:hAnsi="Times New Roman"/>
          <w:sz w:val="28"/>
          <w:szCs w:val="28"/>
        </w:rPr>
        <w:t xml:space="preserve"> рекомендуется:</w:t>
      </w:r>
    </w:p>
    <w:p w:rsidR="00904D6F" w:rsidRPr="00904D6F" w:rsidRDefault="00904D6F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D6F">
        <w:rPr>
          <w:rFonts w:ascii="Times New Roman" w:hAnsi="Times New Roman"/>
          <w:sz w:val="28"/>
          <w:szCs w:val="28"/>
        </w:rPr>
        <w:t xml:space="preserve">– организовать обсуждение </w:t>
      </w:r>
      <w:proofErr w:type="gramStart"/>
      <w:r w:rsidRPr="00904D6F">
        <w:rPr>
          <w:rFonts w:ascii="Times New Roman" w:hAnsi="Times New Roman"/>
          <w:sz w:val="28"/>
          <w:szCs w:val="28"/>
        </w:rPr>
        <w:t xml:space="preserve">результатов </w:t>
      </w:r>
      <w:r w:rsidRPr="00904D6F">
        <w:rPr>
          <w:rFonts w:ascii="Times New Roman" w:hAnsi="Times New Roman"/>
          <w:sz w:val="28"/>
          <w:szCs w:val="28"/>
        </w:rPr>
        <w:t>анализа причин нестабильных образовательных результатов общеобразовательных организаций</w:t>
      </w:r>
      <w:proofErr w:type="gramEnd"/>
      <w:r w:rsidRPr="00904D6F">
        <w:rPr>
          <w:rFonts w:ascii="Times New Roman" w:hAnsi="Times New Roman"/>
          <w:sz w:val="28"/>
          <w:szCs w:val="28"/>
        </w:rPr>
        <w:t>;</w:t>
      </w:r>
    </w:p>
    <w:p w:rsidR="00904D6F" w:rsidRDefault="00904D6F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D6F">
        <w:rPr>
          <w:rFonts w:ascii="Times New Roman" w:hAnsi="Times New Roman"/>
          <w:sz w:val="28"/>
          <w:szCs w:val="28"/>
        </w:rPr>
        <w:t xml:space="preserve">– спланировать систему работы </w:t>
      </w:r>
      <w:r>
        <w:rPr>
          <w:rFonts w:ascii="Times New Roman" w:hAnsi="Times New Roman"/>
          <w:sz w:val="28"/>
          <w:szCs w:val="28"/>
        </w:rPr>
        <w:t xml:space="preserve">со школами с низкими образовательными результатами с учетом </w:t>
      </w:r>
      <w:proofErr w:type="gramStart"/>
      <w:r w:rsidRPr="00904D6F">
        <w:rPr>
          <w:rFonts w:ascii="Times New Roman" w:hAnsi="Times New Roman"/>
          <w:sz w:val="28"/>
          <w:szCs w:val="28"/>
        </w:rPr>
        <w:t xml:space="preserve">результатов </w:t>
      </w:r>
      <w:r w:rsidRPr="00904D6F">
        <w:rPr>
          <w:rFonts w:ascii="Times New Roman" w:hAnsi="Times New Roman"/>
          <w:sz w:val="28"/>
          <w:szCs w:val="28"/>
        </w:rPr>
        <w:t>анализа причин нестабильных образовательных результатов общеобразовательных организаций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4D6F" w:rsidRPr="00904D6F" w:rsidRDefault="00904D6F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ГБОУ ДПО НИРО </w:t>
      </w:r>
      <w:r w:rsidRPr="00904D6F">
        <w:rPr>
          <w:rFonts w:ascii="Times New Roman" w:hAnsi="Times New Roman"/>
          <w:sz w:val="28"/>
          <w:szCs w:val="28"/>
        </w:rPr>
        <w:t xml:space="preserve"> рекомендуется:</w:t>
      </w:r>
    </w:p>
    <w:p w:rsidR="00904D6F" w:rsidRDefault="00904D6F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D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разработать</w:t>
      </w:r>
      <w:r w:rsidRPr="00904D6F">
        <w:rPr>
          <w:rFonts w:ascii="Times New Roman" w:hAnsi="Times New Roman"/>
          <w:sz w:val="28"/>
          <w:szCs w:val="28"/>
        </w:rPr>
        <w:t xml:space="preserve"> </w:t>
      </w:r>
      <w:r w:rsidR="00E34904" w:rsidRPr="00E34904">
        <w:rPr>
          <w:rFonts w:ascii="Times New Roman" w:hAnsi="Times New Roman"/>
          <w:sz w:val="28"/>
          <w:szCs w:val="28"/>
        </w:rPr>
        <w:t>региональную систему работы</w:t>
      </w:r>
      <w:r w:rsidR="00E34904">
        <w:rPr>
          <w:rFonts w:ascii="Times New Roman" w:hAnsi="Times New Roman"/>
          <w:sz w:val="28"/>
          <w:szCs w:val="28"/>
        </w:rPr>
        <w:t xml:space="preserve"> </w:t>
      </w:r>
      <w:r w:rsidR="00E34904" w:rsidRPr="00E34904">
        <w:rPr>
          <w:rFonts w:ascii="Times New Roman" w:hAnsi="Times New Roman"/>
          <w:sz w:val="28"/>
          <w:szCs w:val="28"/>
        </w:rPr>
        <w:t>с общеобразовательными организациями с низкими образовательными</w:t>
      </w:r>
      <w:r w:rsidR="00E34904">
        <w:rPr>
          <w:rFonts w:ascii="Times New Roman" w:hAnsi="Times New Roman"/>
          <w:sz w:val="28"/>
          <w:szCs w:val="28"/>
        </w:rPr>
        <w:t xml:space="preserve"> </w:t>
      </w:r>
      <w:r w:rsidR="00E34904" w:rsidRPr="00E34904">
        <w:rPr>
          <w:rFonts w:ascii="Times New Roman" w:hAnsi="Times New Roman"/>
          <w:sz w:val="28"/>
          <w:szCs w:val="28"/>
        </w:rPr>
        <w:t>результатами, в том числе функционирующими в неблагоприятных</w:t>
      </w:r>
      <w:r w:rsidR="00E34904">
        <w:rPr>
          <w:rFonts w:ascii="Times New Roman" w:hAnsi="Times New Roman"/>
          <w:sz w:val="28"/>
          <w:szCs w:val="28"/>
        </w:rPr>
        <w:t xml:space="preserve"> </w:t>
      </w:r>
      <w:r w:rsidR="00E34904" w:rsidRPr="00E34904">
        <w:rPr>
          <w:rFonts w:ascii="Times New Roman" w:hAnsi="Times New Roman"/>
          <w:sz w:val="28"/>
          <w:szCs w:val="28"/>
        </w:rPr>
        <w:t>социальных условиях, обеспечивающую выявление, анализ и преодоление</w:t>
      </w:r>
      <w:r w:rsidR="00E34904">
        <w:rPr>
          <w:rFonts w:ascii="Times New Roman" w:hAnsi="Times New Roman"/>
          <w:sz w:val="28"/>
          <w:szCs w:val="28"/>
        </w:rPr>
        <w:t xml:space="preserve"> </w:t>
      </w:r>
      <w:r w:rsidR="00E34904" w:rsidRPr="00E34904">
        <w:rPr>
          <w:rFonts w:ascii="Times New Roman" w:hAnsi="Times New Roman"/>
          <w:sz w:val="28"/>
          <w:szCs w:val="28"/>
        </w:rPr>
        <w:t>факторов, обуславливающих низкие образовательные результаты</w:t>
      </w:r>
      <w:r w:rsidR="00E34904">
        <w:rPr>
          <w:rFonts w:ascii="Times New Roman" w:hAnsi="Times New Roman"/>
          <w:sz w:val="28"/>
          <w:szCs w:val="28"/>
        </w:rPr>
        <w:t xml:space="preserve"> </w:t>
      </w:r>
      <w:r w:rsidR="00E34904" w:rsidRPr="00E34904">
        <w:rPr>
          <w:rFonts w:ascii="Times New Roman" w:hAnsi="Times New Roman"/>
          <w:sz w:val="28"/>
          <w:szCs w:val="28"/>
        </w:rPr>
        <w:t xml:space="preserve">обучающихся, определенные данными </w:t>
      </w:r>
      <w:proofErr w:type="spellStart"/>
      <w:r w:rsidR="00E34904" w:rsidRPr="00E34904">
        <w:rPr>
          <w:rFonts w:ascii="Times New Roman" w:hAnsi="Times New Roman"/>
          <w:sz w:val="28"/>
          <w:szCs w:val="28"/>
        </w:rPr>
        <w:lastRenderedPageBreak/>
        <w:t>Рособрнадзора</w:t>
      </w:r>
      <w:proofErr w:type="spellEnd"/>
      <w:r w:rsidR="00E3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904D6F">
        <w:rPr>
          <w:rFonts w:ascii="Times New Roman" w:hAnsi="Times New Roman"/>
          <w:sz w:val="28"/>
          <w:szCs w:val="28"/>
        </w:rPr>
        <w:t xml:space="preserve">результатов </w:t>
      </w:r>
      <w:r w:rsidRPr="00904D6F">
        <w:rPr>
          <w:rFonts w:ascii="Times New Roman" w:hAnsi="Times New Roman"/>
          <w:sz w:val="28"/>
          <w:szCs w:val="28"/>
        </w:rPr>
        <w:t>анализа причин нестабильных образовательных результатов общеобразовательных организаций</w:t>
      </w:r>
      <w:r w:rsidR="00E34904">
        <w:rPr>
          <w:rFonts w:ascii="Times New Roman" w:hAnsi="Times New Roman"/>
          <w:sz w:val="28"/>
          <w:szCs w:val="28"/>
        </w:rPr>
        <w:t>;</w:t>
      </w:r>
      <w:proofErr w:type="gramEnd"/>
    </w:p>
    <w:p w:rsidR="00E34904" w:rsidRPr="008E081E" w:rsidRDefault="00E34904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D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E3490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34904">
        <w:rPr>
          <w:rFonts w:ascii="Times New Roman" w:hAnsi="Times New Roman"/>
          <w:sz w:val="28"/>
          <w:szCs w:val="28"/>
        </w:rPr>
        <w:t>с общеобразовательными организациями с низкими образовательными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904">
        <w:rPr>
          <w:rFonts w:ascii="Times New Roman" w:hAnsi="Times New Roman"/>
          <w:sz w:val="28"/>
          <w:szCs w:val="28"/>
        </w:rPr>
        <w:t>результатами, в том числе функционирующими в неблагоприятных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904">
        <w:rPr>
          <w:rFonts w:ascii="Times New Roman" w:hAnsi="Times New Roman"/>
          <w:sz w:val="28"/>
          <w:szCs w:val="28"/>
        </w:rPr>
        <w:t>социальных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904D6F" w:rsidRPr="008E081E" w:rsidRDefault="00904D6F" w:rsidP="00904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04D6F" w:rsidRPr="008E081E" w:rsidSect="00C21C1D">
      <w:headerReference w:type="default" r:id="rId26"/>
      <w:footerReference w:type="default" r:id="rId27"/>
      <w:pgSz w:w="11906" w:h="16838" w:code="9"/>
      <w:pgMar w:top="737" w:right="851" w:bottom="567" w:left="130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B1" w:rsidRDefault="002E63B1" w:rsidP="0005716E">
      <w:r>
        <w:separator/>
      </w:r>
    </w:p>
  </w:endnote>
  <w:endnote w:type="continuationSeparator" w:id="0">
    <w:p w:rsidR="002E63B1" w:rsidRDefault="002E63B1" w:rsidP="0005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58" w:rsidRDefault="00D44858" w:rsidP="00D10B01">
    <w:pPr>
      <w:pStyle w:val="a6"/>
      <w:jc w:val="center"/>
    </w:pPr>
    <w:fldSimple w:instr=" PAGE   \* MERGEFORMAT ">
      <w:r w:rsidR="00E34904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B1" w:rsidRDefault="002E63B1" w:rsidP="0005716E">
      <w:r>
        <w:separator/>
      </w:r>
    </w:p>
  </w:footnote>
  <w:footnote w:type="continuationSeparator" w:id="0">
    <w:p w:rsidR="002E63B1" w:rsidRDefault="002E63B1" w:rsidP="0005716E">
      <w:r>
        <w:continuationSeparator/>
      </w:r>
    </w:p>
  </w:footnote>
  <w:footnote w:id="1">
    <w:p w:rsidR="00D44858" w:rsidRDefault="00D44858" w:rsidP="00C17D21">
      <w:pPr>
        <w:pStyle w:val="aa"/>
      </w:pPr>
      <w:r>
        <w:rPr>
          <w:rStyle w:val="ab"/>
        </w:rPr>
        <w:footnoteRef/>
      </w:r>
      <w:r>
        <w:t xml:space="preserve"> </w:t>
      </w:r>
      <w:proofErr w:type="spellStart"/>
      <w:r>
        <w:t>Пинская</w:t>
      </w:r>
      <w:proofErr w:type="spellEnd"/>
      <w:r>
        <w:t xml:space="preserve"> М.А., Фрумин И.Д., </w:t>
      </w:r>
      <w:proofErr w:type="spellStart"/>
      <w:r>
        <w:t>Косарецкий</w:t>
      </w:r>
      <w:proofErr w:type="spellEnd"/>
      <w:r>
        <w:t xml:space="preserve"> С.Г. Школы, работающие в сложных социальных контекстах / </w:t>
      </w:r>
      <w:r w:rsidRPr="0023515C">
        <w:t xml:space="preserve">Выравнивание шансов детей на качественное образование: сб. материалов / Комиссия Общественной палаты Российской Федерации по развитию образования. — М.: Изд. дом ВШЭ, </w:t>
      </w:r>
      <w:smartTag w:uri="urn:schemas-microsoft-com:office:smarttags" w:element="metricconverter">
        <w:smartTagPr>
          <w:attr w:name="ProductID" w:val="2012 г"/>
        </w:smartTagPr>
        <w:r w:rsidRPr="0023515C">
          <w:t>2012 г</w:t>
        </w:r>
      </w:smartTag>
      <w:r>
        <w:t>.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58" w:rsidRDefault="00D44858" w:rsidP="00C17D21">
    <w:pPr>
      <w:pStyle w:val="a4"/>
      <w:spacing w:after="0"/>
      <w:jc w:val="center"/>
    </w:pPr>
    <w:r w:rsidRPr="009F5BF9">
      <w:t>Лаборатория</w:t>
    </w:r>
    <w:r w:rsidR="00605580">
      <w:t xml:space="preserve"> информационно-методического обеспечения </w:t>
    </w:r>
    <w:r w:rsidRPr="009F5BF9">
      <w:t xml:space="preserve"> </w:t>
    </w:r>
    <w:r w:rsidR="00065951">
      <w:t>выравнивания образовательных результатов</w:t>
    </w:r>
    <w:r w:rsidRPr="009F5BF9">
      <w:t xml:space="preserve">  ГБОУ ДПО НИРО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0002"/>
    <w:multiLevelType w:val="hybridMultilevel"/>
    <w:tmpl w:val="2FCC009E"/>
    <w:lvl w:ilvl="0" w:tplc="EFF2B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B8"/>
    <w:rsid w:val="000072B4"/>
    <w:rsid w:val="00011BB9"/>
    <w:rsid w:val="000122FE"/>
    <w:rsid w:val="00013F0A"/>
    <w:rsid w:val="000517BF"/>
    <w:rsid w:val="0005716E"/>
    <w:rsid w:val="00065951"/>
    <w:rsid w:val="00066D6E"/>
    <w:rsid w:val="00070AFA"/>
    <w:rsid w:val="0008750E"/>
    <w:rsid w:val="00091AC6"/>
    <w:rsid w:val="000A0A00"/>
    <w:rsid w:val="000A2FEB"/>
    <w:rsid w:val="000A63BE"/>
    <w:rsid w:val="000B37D9"/>
    <w:rsid w:val="000C2C22"/>
    <w:rsid w:val="000C761C"/>
    <w:rsid w:val="000E1E99"/>
    <w:rsid w:val="000E79F7"/>
    <w:rsid w:val="00156AF7"/>
    <w:rsid w:val="00164C27"/>
    <w:rsid w:val="00181976"/>
    <w:rsid w:val="001A2D0C"/>
    <w:rsid w:val="001B320D"/>
    <w:rsid w:val="001B483A"/>
    <w:rsid w:val="001B5766"/>
    <w:rsid w:val="001E08E0"/>
    <w:rsid w:val="001E2DBC"/>
    <w:rsid w:val="00202F3E"/>
    <w:rsid w:val="00213137"/>
    <w:rsid w:val="00226785"/>
    <w:rsid w:val="0023488C"/>
    <w:rsid w:val="0023515C"/>
    <w:rsid w:val="002407DE"/>
    <w:rsid w:val="0024691D"/>
    <w:rsid w:val="00267B0A"/>
    <w:rsid w:val="00270BF2"/>
    <w:rsid w:val="002915C1"/>
    <w:rsid w:val="0029185F"/>
    <w:rsid w:val="002A626A"/>
    <w:rsid w:val="002B172A"/>
    <w:rsid w:val="002B197C"/>
    <w:rsid w:val="002B5E71"/>
    <w:rsid w:val="002E63B1"/>
    <w:rsid w:val="002F1C33"/>
    <w:rsid w:val="002F2E5E"/>
    <w:rsid w:val="002F36BD"/>
    <w:rsid w:val="002F740E"/>
    <w:rsid w:val="00303CC8"/>
    <w:rsid w:val="003077F6"/>
    <w:rsid w:val="00314655"/>
    <w:rsid w:val="00336D1E"/>
    <w:rsid w:val="00345E19"/>
    <w:rsid w:val="0035152E"/>
    <w:rsid w:val="00366373"/>
    <w:rsid w:val="003737FC"/>
    <w:rsid w:val="003749EA"/>
    <w:rsid w:val="00390E6F"/>
    <w:rsid w:val="00392CA6"/>
    <w:rsid w:val="00395906"/>
    <w:rsid w:val="00395955"/>
    <w:rsid w:val="003A3174"/>
    <w:rsid w:val="003D5E74"/>
    <w:rsid w:val="003E5366"/>
    <w:rsid w:val="00401497"/>
    <w:rsid w:val="00403F8B"/>
    <w:rsid w:val="004102E8"/>
    <w:rsid w:val="0042415F"/>
    <w:rsid w:val="004503B7"/>
    <w:rsid w:val="00452CA7"/>
    <w:rsid w:val="00476620"/>
    <w:rsid w:val="0047759E"/>
    <w:rsid w:val="0049460D"/>
    <w:rsid w:val="00497500"/>
    <w:rsid w:val="004B3385"/>
    <w:rsid w:val="004D18F0"/>
    <w:rsid w:val="004E1E28"/>
    <w:rsid w:val="004E3DFE"/>
    <w:rsid w:val="004F0C39"/>
    <w:rsid w:val="004F37E3"/>
    <w:rsid w:val="004F6E20"/>
    <w:rsid w:val="0051082A"/>
    <w:rsid w:val="0051089D"/>
    <w:rsid w:val="00512E5D"/>
    <w:rsid w:val="0053379B"/>
    <w:rsid w:val="005755BE"/>
    <w:rsid w:val="00583307"/>
    <w:rsid w:val="005C3E7F"/>
    <w:rsid w:val="005C4D43"/>
    <w:rsid w:val="005F2F83"/>
    <w:rsid w:val="0060535F"/>
    <w:rsid w:val="00605580"/>
    <w:rsid w:val="00612B79"/>
    <w:rsid w:val="00615BF9"/>
    <w:rsid w:val="006169F9"/>
    <w:rsid w:val="006201B2"/>
    <w:rsid w:val="006520F8"/>
    <w:rsid w:val="00652CD2"/>
    <w:rsid w:val="00657AA3"/>
    <w:rsid w:val="00677ADD"/>
    <w:rsid w:val="00677AF9"/>
    <w:rsid w:val="00681A1C"/>
    <w:rsid w:val="00684E4F"/>
    <w:rsid w:val="00693FAA"/>
    <w:rsid w:val="00694F86"/>
    <w:rsid w:val="006A00BC"/>
    <w:rsid w:val="006A1EA9"/>
    <w:rsid w:val="006C3DC8"/>
    <w:rsid w:val="006C7A50"/>
    <w:rsid w:val="006D0E34"/>
    <w:rsid w:val="006E1072"/>
    <w:rsid w:val="006E3127"/>
    <w:rsid w:val="006E605C"/>
    <w:rsid w:val="006F418F"/>
    <w:rsid w:val="006F440F"/>
    <w:rsid w:val="00712AB2"/>
    <w:rsid w:val="00712B8B"/>
    <w:rsid w:val="00721950"/>
    <w:rsid w:val="00733AF1"/>
    <w:rsid w:val="00743B57"/>
    <w:rsid w:val="007564BA"/>
    <w:rsid w:val="00762A82"/>
    <w:rsid w:val="00765C95"/>
    <w:rsid w:val="00775F19"/>
    <w:rsid w:val="007844B0"/>
    <w:rsid w:val="00784552"/>
    <w:rsid w:val="007B70D8"/>
    <w:rsid w:val="007C70E3"/>
    <w:rsid w:val="007D1D00"/>
    <w:rsid w:val="007E4FAC"/>
    <w:rsid w:val="007F00F0"/>
    <w:rsid w:val="007F23DD"/>
    <w:rsid w:val="007F6A24"/>
    <w:rsid w:val="00815FF1"/>
    <w:rsid w:val="00830B08"/>
    <w:rsid w:val="008350DD"/>
    <w:rsid w:val="00843C55"/>
    <w:rsid w:val="00847CBC"/>
    <w:rsid w:val="00847FAE"/>
    <w:rsid w:val="00854593"/>
    <w:rsid w:val="0086099A"/>
    <w:rsid w:val="00861CAB"/>
    <w:rsid w:val="00871E26"/>
    <w:rsid w:val="0087347E"/>
    <w:rsid w:val="00892316"/>
    <w:rsid w:val="00893209"/>
    <w:rsid w:val="008A0486"/>
    <w:rsid w:val="008A1E7F"/>
    <w:rsid w:val="008B441E"/>
    <w:rsid w:val="008B5F90"/>
    <w:rsid w:val="008D07B3"/>
    <w:rsid w:val="008E081E"/>
    <w:rsid w:val="008E1AB7"/>
    <w:rsid w:val="008F3879"/>
    <w:rsid w:val="00904AB2"/>
    <w:rsid w:val="00904D6F"/>
    <w:rsid w:val="00910A8B"/>
    <w:rsid w:val="00932EDF"/>
    <w:rsid w:val="00934319"/>
    <w:rsid w:val="0095662F"/>
    <w:rsid w:val="00956FDA"/>
    <w:rsid w:val="00961973"/>
    <w:rsid w:val="00992578"/>
    <w:rsid w:val="00995993"/>
    <w:rsid w:val="00997869"/>
    <w:rsid w:val="009B1AF8"/>
    <w:rsid w:val="009C7442"/>
    <w:rsid w:val="009F5BF9"/>
    <w:rsid w:val="00A2568E"/>
    <w:rsid w:val="00A27368"/>
    <w:rsid w:val="00A27BBE"/>
    <w:rsid w:val="00A350DC"/>
    <w:rsid w:val="00A37860"/>
    <w:rsid w:val="00A522E2"/>
    <w:rsid w:val="00A80EAB"/>
    <w:rsid w:val="00A923E0"/>
    <w:rsid w:val="00AB225D"/>
    <w:rsid w:val="00AC7254"/>
    <w:rsid w:val="00B02499"/>
    <w:rsid w:val="00B04DAA"/>
    <w:rsid w:val="00B11A1C"/>
    <w:rsid w:val="00B1237A"/>
    <w:rsid w:val="00B131D4"/>
    <w:rsid w:val="00B220DE"/>
    <w:rsid w:val="00B41884"/>
    <w:rsid w:val="00B853E7"/>
    <w:rsid w:val="00B86C3D"/>
    <w:rsid w:val="00B969C1"/>
    <w:rsid w:val="00BA5759"/>
    <w:rsid w:val="00BA6956"/>
    <w:rsid w:val="00BE5850"/>
    <w:rsid w:val="00BE5C04"/>
    <w:rsid w:val="00C17D21"/>
    <w:rsid w:val="00C21C1D"/>
    <w:rsid w:val="00C262FC"/>
    <w:rsid w:val="00C377F6"/>
    <w:rsid w:val="00C416F1"/>
    <w:rsid w:val="00C41A2A"/>
    <w:rsid w:val="00C55967"/>
    <w:rsid w:val="00C605DB"/>
    <w:rsid w:val="00C8732D"/>
    <w:rsid w:val="00C87D43"/>
    <w:rsid w:val="00CB6255"/>
    <w:rsid w:val="00CB7B4C"/>
    <w:rsid w:val="00CC7E2A"/>
    <w:rsid w:val="00CE1FB8"/>
    <w:rsid w:val="00CE4F50"/>
    <w:rsid w:val="00CF122C"/>
    <w:rsid w:val="00CF1E23"/>
    <w:rsid w:val="00CF6CA7"/>
    <w:rsid w:val="00CF7C3E"/>
    <w:rsid w:val="00D06DD9"/>
    <w:rsid w:val="00D10B01"/>
    <w:rsid w:val="00D1355B"/>
    <w:rsid w:val="00D44858"/>
    <w:rsid w:val="00D51362"/>
    <w:rsid w:val="00D51DEF"/>
    <w:rsid w:val="00D732B8"/>
    <w:rsid w:val="00D864CB"/>
    <w:rsid w:val="00D866A7"/>
    <w:rsid w:val="00DB21F2"/>
    <w:rsid w:val="00DE7AE7"/>
    <w:rsid w:val="00DF305D"/>
    <w:rsid w:val="00E130CB"/>
    <w:rsid w:val="00E27843"/>
    <w:rsid w:val="00E34904"/>
    <w:rsid w:val="00E41055"/>
    <w:rsid w:val="00E8337D"/>
    <w:rsid w:val="00E91CAC"/>
    <w:rsid w:val="00E96DD8"/>
    <w:rsid w:val="00EA1A2D"/>
    <w:rsid w:val="00EA21B7"/>
    <w:rsid w:val="00EA38BB"/>
    <w:rsid w:val="00EA74FD"/>
    <w:rsid w:val="00EB2364"/>
    <w:rsid w:val="00EB51AC"/>
    <w:rsid w:val="00EC5BE8"/>
    <w:rsid w:val="00ED58E9"/>
    <w:rsid w:val="00EF78CA"/>
    <w:rsid w:val="00F070DD"/>
    <w:rsid w:val="00F107B6"/>
    <w:rsid w:val="00F20F19"/>
    <w:rsid w:val="00F22A89"/>
    <w:rsid w:val="00F71460"/>
    <w:rsid w:val="00F966AF"/>
    <w:rsid w:val="00F96CBD"/>
    <w:rsid w:val="00FA6620"/>
    <w:rsid w:val="00FB72B2"/>
    <w:rsid w:val="00FC64CB"/>
    <w:rsid w:val="00FD2EF6"/>
    <w:rsid w:val="00FE536D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D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7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05716E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057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5716E"/>
    <w:rPr>
      <w:rFonts w:cs="Times New Roman"/>
      <w:sz w:val="24"/>
      <w:szCs w:val="24"/>
    </w:rPr>
  </w:style>
  <w:style w:type="paragraph" w:styleId="a8">
    <w:name w:val="Balloon Text"/>
    <w:basedOn w:val="a"/>
    <w:link w:val="a9"/>
    <w:rsid w:val="00057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0571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C17D21"/>
    <w:pPr>
      <w:ind w:left="720"/>
      <w:contextualSpacing/>
    </w:pPr>
  </w:style>
  <w:style w:type="paragraph" w:styleId="aa">
    <w:name w:val="footnote text"/>
    <w:basedOn w:val="a"/>
    <w:semiHidden/>
    <w:rsid w:val="00C17D21"/>
    <w:rPr>
      <w:sz w:val="20"/>
      <w:szCs w:val="20"/>
    </w:rPr>
  </w:style>
  <w:style w:type="character" w:styleId="ab">
    <w:name w:val="footnote reference"/>
    <w:basedOn w:val="a0"/>
    <w:semiHidden/>
    <w:rsid w:val="00C17D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85;&#1080;&#1079;&#1082;&#1080;&#1077;_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vv\&#1056;&#1072;&#1073;&#1086;&#1095;&#1080;&#1081;%20&#1089;&#1090;&#1086;&#1083;\&#1048;&#1089;&#1089;&#1083;&#1077;&#1076;&#1086;&#1074;&#1072;&#1085;&#1080;&#1077;\&#1041;&#1072;&#1079;&#1072;%20&#1076;&#1072;&#1085;&#1085;&#1099;&#1093;_&#1074;&#1099;&#1089;&#1086;&#1082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1.1213502618392867E-2"/>
          <c:y val="1.5232732619703643E-2"/>
          <c:w val="0.98353087443017062"/>
          <c:h val="0.97812315127275706"/>
        </c:manualLayout>
      </c:layout>
      <c:bar3DChart>
        <c:barDir val="bar"/>
        <c:grouping val="clustered"/>
        <c:ser>
          <c:idx val="0"/>
          <c:order val="0"/>
          <c:dPt>
            <c:idx val="6"/>
            <c:spPr>
              <a:solidFill>
                <a:srgbClr val="C0504D"/>
              </a:solidFill>
            </c:spPr>
          </c:dPt>
          <c:dPt>
            <c:idx val="7"/>
            <c:spPr>
              <a:solidFill>
                <a:srgbClr val="C0504D"/>
              </a:solidFill>
            </c:spPr>
          </c:dPt>
          <c:dPt>
            <c:idx val="8"/>
            <c:spPr>
              <a:solidFill>
                <a:srgbClr val="C0504D"/>
              </a:solidFill>
            </c:spPr>
          </c:dPt>
          <c:dPt>
            <c:idx val="9"/>
            <c:spPr>
              <a:solidFill>
                <a:srgbClr val="C0504D"/>
              </a:solidFill>
            </c:spPr>
          </c:dPt>
          <c:dPt>
            <c:idx val="10"/>
            <c:spPr>
              <a:solidFill>
                <a:srgbClr val="C0504D"/>
              </a:solidFill>
            </c:spPr>
          </c:dPt>
          <c:dPt>
            <c:idx val="11"/>
            <c:spPr>
              <a:solidFill>
                <a:srgbClr val="C0504D"/>
              </a:solidFill>
            </c:spPr>
          </c:dPt>
          <c:dPt>
            <c:idx val="12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5'!$A$20:$A$32</c:f>
              <c:strCache>
                <c:ptCount val="13"/>
                <c:pt idx="0">
                  <c:v>Отсутствие разнообразия и вариативности дополнительных образовательных услуг</c:v>
                </c:pt>
                <c:pt idx="1">
                  <c:v>Недостаточное материально-техническое обеспечение образовательного процесса </c:v>
                </c:pt>
                <c:pt idx="2">
                  <c:v>Низкая управленческая квалификация руководящих работников школы</c:v>
                </c:pt>
                <c:pt idx="3">
                  <c:v>Отсутствие взаимодействия с Вузами и Сузами</c:v>
                </c:pt>
                <c:pt idx="4">
                  <c:v>Отсутствие материального стимулирования педагогов на получение высоких результатов </c:v>
                </c:pt>
                <c:pt idx="5">
                  <c:v>Отсутствие в школе коллектива единомышленников</c:v>
                </c:pt>
                <c:pt idx="6">
                  <c:v>Отсутствие системности методической работы как условие профессионального роста учителей</c:v>
                </c:pt>
                <c:pt idx="7">
                  <c:v>Низкая профессиональная квалификация педагогов</c:v>
                </c:pt>
                <c:pt idx="8">
                  <c:v>Несистемность контроля и диагностики результатов педагогической деятельности</c:v>
                </c:pt>
                <c:pt idx="9">
                  <c:v>Особенности образовательного процесса </c:v>
                </c:pt>
                <c:pt idx="10">
                  <c:v>Некачественный отбор учителей для работы в 10—11 классах</c:v>
                </c:pt>
                <c:pt idx="11">
                  <c:v>Не участие родителей в жизни школы</c:v>
                </c:pt>
                <c:pt idx="12">
                  <c:v>Особенности образовательной организации</c:v>
                </c:pt>
              </c:strCache>
            </c:strRef>
          </c:cat>
          <c:val>
            <c:numRef>
              <c:f>'Вопрос 5'!$B$20:$B$32</c:f>
              <c:numCache>
                <c:formatCode>0.00</c:formatCode>
                <c:ptCount val="13"/>
                <c:pt idx="0">
                  <c:v>2</c:v>
                </c:pt>
                <c:pt idx="1">
                  <c:v>2.0256410256410247</c:v>
                </c:pt>
                <c:pt idx="2">
                  <c:v>2.0769230769230771</c:v>
                </c:pt>
                <c:pt idx="3">
                  <c:v>2.0909090909090908</c:v>
                </c:pt>
                <c:pt idx="4">
                  <c:v>2.0967741935483826</c:v>
                </c:pt>
                <c:pt idx="5">
                  <c:v>2.25</c:v>
                </c:pt>
                <c:pt idx="6">
                  <c:v>2.5128205128205132</c:v>
                </c:pt>
                <c:pt idx="7">
                  <c:v>2.5263157894736827</c:v>
                </c:pt>
                <c:pt idx="8">
                  <c:v>2.5641025641025652</c:v>
                </c:pt>
                <c:pt idx="9">
                  <c:v>2.6071428571428612</c:v>
                </c:pt>
                <c:pt idx="10">
                  <c:v>2.7</c:v>
                </c:pt>
                <c:pt idx="11">
                  <c:v>3.3</c:v>
                </c:pt>
                <c:pt idx="12">
                  <c:v>3.4857142857142858</c:v>
                </c:pt>
              </c:numCache>
            </c:numRef>
          </c:val>
        </c:ser>
        <c:dLbls>
          <c:showVal val="1"/>
        </c:dLbls>
        <c:shape val="box"/>
        <c:axId val="137862528"/>
        <c:axId val="137963392"/>
        <c:axId val="0"/>
      </c:bar3DChart>
      <c:catAx>
        <c:axId val="137862528"/>
        <c:scaling>
          <c:orientation val="minMax"/>
        </c:scaling>
        <c:axPos val="l"/>
        <c:maj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7963392"/>
        <c:crosses val="autoZero"/>
        <c:auto val="1"/>
        <c:lblAlgn val="ctr"/>
        <c:lblOffset val="100"/>
      </c:catAx>
      <c:valAx>
        <c:axId val="137963392"/>
        <c:scaling>
          <c:orientation val="minMax"/>
        </c:scaling>
        <c:delete val="1"/>
        <c:axPos val="b"/>
        <c:numFmt formatCode="0.00" sourceLinked="1"/>
        <c:tickLblPos val="none"/>
        <c:crossAx val="137862528"/>
        <c:crosses val="autoZero"/>
        <c:crossBetween val="between"/>
      </c:valAx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12'!$A$14:$A$22</c:f>
              <c:strCache>
                <c:ptCount val="9"/>
                <c:pt idx="0">
                  <c:v>состояние региональной системы оценки качества учебных достижений</c:v>
                </c:pt>
                <c:pt idx="1">
                  <c:v>условия повышения квалификации</c:v>
                </c:pt>
                <c:pt idx="2">
                  <c:v>наличие в шаговой или в транспортной доступности музеев, театров, библиотек</c:v>
                </c:pt>
                <c:pt idx="3">
                  <c:v>наличие методической поддержки педагогов на муниципальном уровне</c:v>
                </c:pt>
                <c:pt idx="4">
                  <c:v>объем финансирования для обеспечения деятельности школы</c:v>
                </c:pt>
                <c:pt idx="5">
                  <c:v>уровень доходов семьи</c:v>
                </c:pt>
                <c:pt idx="6">
                  <c:v>темп реформирования системы образования</c:v>
                </c:pt>
                <c:pt idx="7">
                  <c:v>социальный статус родителей</c:v>
                </c:pt>
                <c:pt idx="8">
                  <c:v>отношение семьи к обучению ребенка: образовательный запрос родителей</c:v>
                </c:pt>
              </c:strCache>
            </c:strRef>
          </c:cat>
          <c:val>
            <c:numRef>
              <c:f>'Вопрос 12'!$B$14:$B$22</c:f>
              <c:numCache>
                <c:formatCode>0.00</c:formatCode>
                <c:ptCount val="9"/>
                <c:pt idx="0">
                  <c:v>1.7272727272727273</c:v>
                </c:pt>
                <c:pt idx="1">
                  <c:v>1.9800000000000022</c:v>
                </c:pt>
                <c:pt idx="2">
                  <c:v>2</c:v>
                </c:pt>
                <c:pt idx="3">
                  <c:v>2.0625</c:v>
                </c:pt>
                <c:pt idx="4">
                  <c:v>2.1162790697674421</c:v>
                </c:pt>
                <c:pt idx="5">
                  <c:v>2.3124999999999947</c:v>
                </c:pt>
                <c:pt idx="6">
                  <c:v>2.4210526315789425</c:v>
                </c:pt>
                <c:pt idx="7">
                  <c:v>2.8888888888888848</c:v>
                </c:pt>
                <c:pt idx="8">
                  <c:v>3.4179104477611952</c:v>
                </c:pt>
              </c:numCache>
            </c:numRef>
          </c:val>
        </c:ser>
        <c:dLbls>
          <c:showVal val="1"/>
        </c:dLbls>
        <c:shape val="box"/>
        <c:axId val="164411648"/>
        <c:axId val="164528128"/>
        <c:axId val="0"/>
      </c:bar3DChart>
      <c:catAx>
        <c:axId val="1644116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4528128"/>
        <c:crosses val="autoZero"/>
        <c:auto val="1"/>
        <c:lblAlgn val="ctr"/>
        <c:lblOffset val="100"/>
      </c:catAx>
      <c:valAx>
        <c:axId val="164528128"/>
        <c:scaling>
          <c:orientation val="minMax"/>
        </c:scaling>
        <c:delete val="1"/>
        <c:axPos val="b"/>
        <c:numFmt formatCode="0.00" sourceLinked="1"/>
        <c:tickLblPos val="none"/>
        <c:crossAx val="16441164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5"/>
            <c:spPr>
              <a:solidFill>
                <a:schemeClr val="accent2"/>
              </a:solidFill>
            </c:spPr>
          </c:dPt>
          <c:dPt>
            <c:idx val="6"/>
            <c:spPr>
              <a:solidFill>
                <a:schemeClr val="accent2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12'!$A$13:$A$21</c:f>
              <c:strCache>
                <c:ptCount val="9"/>
                <c:pt idx="0">
                  <c:v>наличие в шаговой или в транспортной доступности музеев, театров, библиотек</c:v>
                </c:pt>
                <c:pt idx="1">
                  <c:v>уровень доходов семьи</c:v>
                </c:pt>
                <c:pt idx="2">
                  <c:v>темп реформирования системы образования</c:v>
                </c:pt>
                <c:pt idx="3">
                  <c:v>социальный статус родителей</c:v>
                </c:pt>
                <c:pt idx="4">
                  <c:v>состояние региональной системы оценки качества учебных достижений</c:v>
                </c:pt>
                <c:pt idx="5">
                  <c:v>объем финансирования для обеспечения деятельности школы</c:v>
                </c:pt>
                <c:pt idx="6">
                  <c:v>условия повышения квалификации</c:v>
                </c:pt>
                <c:pt idx="7">
                  <c:v>наличие методической поддержки педагогов на муниципальном уровне</c:v>
                </c:pt>
                <c:pt idx="8">
                  <c:v>отношение семьи к обучению ребенка: образовательный запрос родителей</c:v>
                </c:pt>
              </c:strCache>
            </c:strRef>
          </c:cat>
          <c:val>
            <c:numRef>
              <c:f>'Вопрос 12'!$B$13:$B$21</c:f>
              <c:numCache>
                <c:formatCode>0.0</c:formatCode>
                <c:ptCount val="9"/>
                <c:pt idx="0">
                  <c:v>1.7142857142857162</c:v>
                </c:pt>
                <c:pt idx="1">
                  <c:v>1.9591836734693877</c:v>
                </c:pt>
                <c:pt idx="2">
                  <c:v>2.612244897959179</c:v>
                </c:pt>
                <c:pt idx="3">
                  <c:v>2.6326530612244867</c:v>
                </c:pt>
                <c:pt idx="4">
                  <c:v>2.6938775510204129</c:v>
                </c:pt>
                <c:pt idx="5">
                  <c:v>3</c:v>
                </c:pt>
                <c:pt idx="6">
                  <c:v>3.5918367346938767</c:v>
                </c:pt>
                <c:pt idx="7">
                  <c:v>3.5918367346938767</c:v>
                </c:pt>
                <c:pt idx="8">
                  <c:v>3.8367346938775508</c:v>
                </c:pt>
              </c:numCache>
            </c:numRef>
          </c:val>
        </c:ser>
        <c:dLbls>
          <c:showVal val="1"/>
        </c:dLbls>
        <c:shape val="box"/>
        <c:axId val="164647680"/>
        <c:axId val="164649216"/>
        <c:axId val="0"/>
      </c:bar3DChart>
      <c:catAx>
        <c:axId val="1646476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4649216"/>
        <c:crosses val="autoZero"/>
        <c:auto val="1"/>
        <c:lblAlgn val="ctr"/>
        <c:lblOffset val="100"/>
      </c:catAx>
      <c:valAx>
        <c:axId val="164649216"/>
        <c:scaling>
          <c:orientation val="minMax"/>
        </c:scaling>
        <c:delete val="1"/>
        <c:axPos val="b"/>
        <c:numFmt formatCode="0.0" sourceLinked="1"/>
        <c:tickLblPos val="none"/>
        <c:crossAx val="16464768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15'!$A$24:$A$37</c:f>
              <c:strCache>
                <c:ptCount val="14"/>
                <c:pt idx="0">
                  <c:v>Широкое и постоянное привлечения родителей к жизни школы </c:v>
                </c:pt>
                <c:pt idx="1">
                  <c:v>Расширение спектра дополнительных образовательных услуг </c:v>
                </c:pt>
                <c:pt idx="2">
                  <c:v>Повышение мотивации педагогических работников школы на получение высоких образовательных результатов </c:v>
                </c:pt>
                <c:pt idx="3">
                  <c:v>Создание в школе психологической службы поддержки учащихся </c:v>
                </c:pt>
                <c:pt idx="4">
                  <c:v>Создание условий для непрерывного профессионального роста учителей </c:v>
                </c:pt>
                <c:pt idx="5">
                  <c:v>Существенное повышение квалификации учителей </c:v>
                </c:pt>
                <c:pt idx="6">
                  <c:v>Создание благоприятного психологического климата для педагогических работников и учащихся </c:v>
                </c:pt>
                <c:pt idx="7">
                  <c:v>Использование дистанционного, электронного и мобильного обучения </c:v>
                </c:pt>
                <c:pt idx="8">
                  <c:v>Существенное увеличение финансирования школы </c:v>
                </c:pt>
                <c:pt idx="9">
                  <c:v>Существенное улучшение материально-технической базы </c:v>
                </c:pt>
                <c:pt idx="10">
                  <c:v>Установление партнёрских отношений с более сильными школами </c:v>
                </c:pt>
                <c:pt idx="11">
                  <c:v>Разработка программы развития школы и строгий контроль за её выполнением </c:v>
                </c:pt>
                <c:pt idx="12">
                  <c:v>Участие школы в различных конкурсах, смотрах олимпиадах, соревнованиях </c:v>
                </c:pt>
                <c:pt idx="13">
                  <c:v>Назначение администрации высокой квалификации, обладающей лидерскими качествами </c:v>
                </c:pt>
              </c:strCache>
            </c:strRef>
          </c:cat>
          <c:val>
            <c:numRef>
              <c:f>'Вопрос 15'!$B$24:$B$37</c:f>
              <c:numCache>
                <c:formatCode>General</c:formatCode>
                <c:ptCount val="14"/>
                <c:pt idx="0">
                  <c:v>51</c:v>
                </c:pt>
                <c:pt idx="1">
                  <c:v>50</c:v>
                </c:pt>
                <c:pt idx="2">
                  <c:v>45</c:v>
                </c:pt>
                <c:pt idx="3">
                  <c:v>22</c:v>
                </c:pt>
                <c:pt idx="4">
                  <c:v>21</c:v>
                </c:pt>
                <c:pt idx="5">
                  <c:v>16</c:v>
                </c:pt>
                <c:pt idx="6">
                  <c:v>14</c:v>
                </c:pt>
                <c:pt idx="7">
                  <c:v>14</c:v>
                </c:pt>
                <c:pt idx="8">
                  <c:v>12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7</c:v>
                </c:pt>
                <c:pt idx="13">
                  <c:v>3</c:v>
                </c:pt>
              </c:numCache>
            </c:numRef>
          </c:val>
        </c:ser>
        <c:dLbls>
          <c:showVal val="1"/>
        </c:dLbls>
        <c:shape val="box"/>
        <c:axId val="167230080"/>
        <c:axId val="167235968"/>
        <c:axId val="0"/>
      </c:bar3DChart>
      <c:catAx>
        <c:axId val="167230080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67235968"/>
        <c:crosses val="autoZero"/>
        <c:auto val="1"/>
        <c:lblAlgn val="ctr"/>
        <c:lblOffset val="100"/>
      </c:catAx>
      <c:valAx>
        <c:axId val="1672359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723008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C0504D"/>
              </a:solidFill>
            </c:spPr>
          </c:dPt>
          <c:dPt>
            <c:idx val="2"/>
            <c:spPr>
              <a:solidFill>
                <a:srgbClr val="C0504D"/>
              </a:solidFill>
            </c:spPr>
          </c:dPt>
          <c:dPt>
            <c:idx val="3"/>
            <c:spPr>
              <a:solidFill>
                <a:srgbClr val="C0504D"/>
              </a:solidFill>
            </c:spPr>
          </c:dPt>
          <c:dLbls>
            <c:delete val="1"/>
          </c:dLbls>
          <c:cat>
            <c:strRef>
              <c:f>Вопрос_Условия!$A$19:$A$32</c:f>
              <c:strCache>
                <c:ptCount val="14"/>
                <c:pt idx="0">
                  <c:v>Повышение мотивации педагогических работников школы на получение высоких образовательных результатов </c:v>
                </c:pt>
                <c:pt idx="1">
                  <c:v>Создание благоприятного психологического климата для педагогических работников и учащихся </c:v>
                </c:pt>
                <c:pt idx="2">
                  <c:v>Создание условий для непрерывного профессионального роста учителей </c:v>
                </c:pt>
                <c:pt idx="3">
                  <c:v>Существенное повышение квалификации учителей </c:v>
                </c:pt>
                <c:pt idx="4">
                  <c:v> Назначение администрации высокой квалификации, обладающей лидерскими качествами </c:v>
                </c:pt>
                <c:pt idx="5">
                  <c:v>Существенное улучшение материально-технической базы </c:v>
                </c:pt>
                <c:pt idx="6">
                  <c:v>Участие школы в различных конкурсах, смотрах олимпиадах, соревнованиях </c:v>
                </c:pt>
                <c:pt idx="7">
                  <c:v>Широкое и постоянное привлечения родителей к жизни школы </c:v>
                </c:pt>
                <c:pt idx="8">
                  <c:v>Установление партнёрских отношений с более сильными школами </c:v>
                </c:pt>
                <c:pt idx="9">
                  <c:v>Существенное увеличение финансирования школы </c:v>
                </c:pt>
                <c:pt idx="10">
                  <c:v>Разработка программы развития школы и строгий контроль за её выполнением </c:v>
                </c:pt>
                <c:pt idx="11">
                  <c:v>Расширение спектра дополнительных образовательных услуг </c:v>
                </c:pt>
                <c:pt idx="12">
                  <c:v>Использование дистанционного, электронного и мобильного обучения </c:v>
                </c:pt>
                <c:pt idx="13">
                  <c:v>Создание в школе психологической службы поддержки учащихся </c:v>
                </c:pt>
              </c:strCache>
            </c:strRef>
          </c:cat>
          <c:val>
            <c:numRef>
              <c:f>Вопрос_Условия!$B$19:$B$32</c:f>
              <c:numCache>
                <c:formatCode>General</c:formatCode>
                <c:ptCount val="14"/>
                <c:pt idx="0">
                  <c:v>40</c:v>
                </c:pt>
                <c:pt idx="1">
                  <c:v>31</c:v>
                </c:pt>
                <c:pt idx="2">
                  <c:v>28</c:v>
                </c:pt>
                <c:pt idx="3">
                  <c:v>26</c:v>
                </c:pt>
                <c:pt idx="4">
                  <c:v>21</c:v>
                </c:pt>
                <c:pt idx="5">
                  <c:v>17</c:v>
                </c:pt>
                <c:pt idx="6">
                  <c:v>12</c:v>
                </c:pt>
                <c:pt idx="7">
                  <c:v>12</c:v>
                </c:pt>
                <c:pt idx="8">
                  <c:v>11</c:v>
                </c:pt>
                <c:pt idx="9">
                  <c:v>8</c:v>
                </c:pt>
                <c:pt idx="10">
                  <c:v>8</c:v>
                </c:pt>
                <c:pt idx="11">
                  <c:v>7</c:v>
                </c:pt>
                <c:pt idx="12">
                  <c:v>7</c:v>
                </c:pt>
                <c:pt idx="13">
                  <c:v>6</c:v>
                </c:pt>
              </c:numCache>
            </c:numRef>
          </c:val>
        </c:ser>
        <c:dLbls>
          <c:showVal val="1"/>
        </c:dLbls>
        <c:shape val="box"/>
        <c:axId val="167273600"/>
        <c:axId val="167275136"/>
        <c:axId val="0"/>
      </c:bar3DChart>
      <c:catAx>
        <c:axId val="167273600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67275136"/>
        <c:crosses val="autoZero"/>
        <c:auto val="1"/>
        <c:lblAlgn val="ctr"/>
        <c:lblOffset val="100"/>
      </c:catAx>
      <c:valAx>
        <c:axId val="167275136"/>
        <c:scaling>
          <c:orientation val="minMax"/>
        </c:scaling>
        <c:delete val="1"/>
        <c:axPos val="l"/>
        <c:numFmt formatCode="General" sourceLinked="1"/>
        <c:tickLblPos val="none"/>
        <c:crossAx val="167273600"/>
        <c:crosses val="autoZero"/>
        <c:crossBetween val="between"/>
      </c:valAx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Школы с низкими</a:t>
            </a:r>
            <a:r>
              <a:rPr lang="ru-RU" sz="1200" baseline="0"/>
              <a:t> результатами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1.6858237547892719E-2"/>
          <c:y val="1.5311649849209427E-2"/>
          <c:w val="0.96628352490421332"/>
          <c:h val="0.48877184798842432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16'!$A$15:$A$25</c:f>
              <c:strCache>
                <c:ptCount val="11"/>
                <c:pt idx="0">
                  <c:v>Организация методической поддержки педагогов по вопросам подготовки обучающихся к сдаче ЕГЭ на муниципальном уровне </c:v>
                </c:pt>
                <c:pt idx="1">
                  <c:v>Повышение квалификации педагогов по вопросам организации подготовки обучающихся к сдаче ЕГЭ </c:v>
                </c:pt>
                <c:pt idx="2">
                  <c:v>Организация консультирования педагогов по вопросам подготовки обучающихся к сдаче ЕГЭ в НИРО</c:v>
                </c:pt>
                <c:pt idx="3">
                  <c:v>Организация сетевых сообществ диссеминации опыта между школами и учителями</c:v>
                </c:pt>
                <c:pt idx="4">
                  <c:v>Создание службы психологической помощи обучающимся </c:v>
                </c:pt>
                <c:pt idx="5">
                  <c:v>Организация партнерского взаимодействия слабых школ с более сильными школами</c:v>
                </c:pt>
                <c:pt idx="6">
                  <c:v>Использование возможностей дистанционного обучения для обучающихся</c:v>
                </c:pt>
                <c:pt idx="7">
                  <c:v>Установление партнерских отношений с НИРО (системой дополнительного профессионального образования)</c:v>
                </c:pt>
                <c:pt idx="8">
                  <c:v>Организация конкурсов и олимпиад для обучающихся</c:v>
                </c:pt>
                <c:pt idx="9">
                  <c:v>Финансовая поддержка, выделение грантов</c:v>
                </c:pt>
                <c:pt idx="10">
                  <c:v>Организация профессиональных конкурсов</c:v>
                </c:pt>
              </c:strCache>
            </c:strRef>
          </c:cat>
          <c:val>
            <c:numRef>
              <c:f>'Вопрос 16'!$B$15:$B$25</c:f>
              <c:numCache>
                <c:formatCode>General</c:formatCode>
                <c:ptCount val="11"/>
                <c:pt idx="0">
                  <c:v>39</c:v>
                </c:pt>
                <c:pt idx="1">
                  <c:v>36</c:v>
                </c:pt>
                <c:pt idx="2">
                  <c:v>30</c:v>
                </c:pt>
                <c:pt idx="3">
                  <c:v>27</c:v>
                </c:pt>
                <c:pt idx="4">
                  <c:v>22</c:v>
                </c:pt>
                <c:pt idx="5">
                  <c:v>17</c:v>
                </c:pt>
                <c:pt idx="6">
                  <c:v>16</c:v>
                </c:pt>
                <c:pt idx="7">
                  <c:v>15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</c:ser>
        <c:dLbls>
          <c:showVal val="1"/>
        </c:dLbls>
        <c:shape val="box"/>
        <c:axId val="167295616"/>
        <c:axId val="167297408"/>
        <c:axId val="0"/>
      </c:bar3DChart>
      <c:catAx>
        <c:axId val="167295616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67297408"/>
        <c:crosses val="autoZero"/>
        <c:auto val="1"/>
        <c:lblAlgn val="ctr"/>
        <c:lblOffset val="100"/>
      </c:catAx>
      <c:valAx>
        <c:axId val="167297408"/>
        <c:scaling>
          <c:orientation val="minMax"/>
        </c:scaling>
        <c:delete val="1"/>
        <c:axPos val="l"/>
        <c:numFmt formatCode="General" sourceLinked="1"/>
        <c:tickLblPos val="none"/>
        <c:crossAx val="16729561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Школы</a:t>
            </a:r>
            <a:r>
              <a:rPr lang="ru-RU"/>
              <a:t> </a:t>
            </a:r>
            <a:r>
              <a:rPr lang="ru-RU" sz="1200"/>
              <a:t>с высокими результатами</a:t>
            </a:r>
          </a:p>
        </c:rich>
      </c:tx>
      <c:layout>
        <c:manualLayout>
          <c:xMode val="edge"/>
          <c:yMode val="edge"/>
          <c:x val="0.32830475241978224"/>
          <c:y val="2.051280946884206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9323671497584589E-2"/>
          <c:y val="1.7008672449735543E-2"/>
          <c:w val="0.96135265700483163"/>
          <c:h val="0.48389179143049132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cat>
            <c:strRef>
              <c:f>'Вопрос_Формы работы с НЭШ'!$A$17:$A$27</c:f>
              <c:strCache>
                <c:ptCount val="11"/>
                <c:pt idx="0">
                  <c:v>повышение квалификации педагогов по вопросам организации подготовки обучающихся к сдаче ЕГЭ </c:v>
                </c:pt>
                <c:pt idx="1">
                  <c:v> организация методической поддержки педагогов по вопросам подготовки обучающихся к сдаче ЕГЭ на муниципальном уровне </c:v>
                </c:pt>
                <c:pt idx="2">
                  <c:v>организация консультирования педагогов по вопросам подготовки обучающихся к сдаче ЕГЭ в НИРО</c:v>
                </c:pt>
                <c:pt idx="3">
                  <c:v>организация сетевых сообществ диссеминации опыта между школами и учителями</c:v>
                </c:pt>
                <c:pt idx="4">
                  <c:v>организация партнерского взаимодействия слабых школ с более сильными школами</c:v>
                </c:pt>
                <c:pt idx="5">
                  <c:v>финансовая поддержка, выделение грантов</c:v>
                </c:pt>
                <c:pt idx="6">
                  <c:v>использование возможностей дистанционного обучения для обучающихся</c:v>
                </c:pt>
                <c:pt idx="7">
                  <c:v>установление партнерских отношений с НИРО (системой дополнительного профессионального образования)</c:v>
                </c:pt>
                <c:pt idx="8">
                  <c:v>создание службы психологической помощи обучающимся </c:v>
                </c:pt>
                <c:pt idx="9">
                  <c:v>организация конкурсов и олимпиад для обучающихся</c:v>
                </c:pt>
                <c:pt idx="10">
                  <c:v>организация профессиональных конкурсов</c:v>
                </c:pt>
              </c:strCache>
            </c:strRef>
          </c:cat>
          <c:val>
            <c:numRef>
              <c:f>'Вопрос_Формы работы с НЭШ'!$B$17:$B$27</c:f>
              <c:numCache>
                <c:formatCode>General</c:formatCode>
                <c:ptCount val="11"/>
                <c:pt idx="0">
                  <c:v>41</c:v>
                </c:pt>
                <c:pt idx="1">
                  <c:v>39</c:v>
                </c:pt>
                <c:pt idx="2">
                  <c:v>26</c:v>
                </c:pt>
                <c:pt idx="3">
                  <c:v>24</c:v>
                </c:pt>
                <c:pt idx="4">
                  <c:v>16</c:v>
                </c:pt>
                <c:pt idx="5">
                  <c:v>11</c:v>
                </c:pt>
                <c:pt idx="6">
                  <c:v>11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</c:ser>
        <c:dLbls>
          <c:showVal val="1"/>
        </c:dLbls>
        <c:shape val="box"/>
        <c:axId val="167310848"/>
        <c:axId val="167312384"/>
        <c:axId val="0"/>
      </c:bar3DChart>
      <c:catAx>
        <c:axId val="16731084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67312384"/>
        <c:crosses val="autoZero"/>
        <c:auto val="1"/>
        <c:lblAlgn val="ctr"/>
        <c:lblOffset val="100"/>
      </c:catAx>
      <c:valAx>
        <c:axId val="167312384"/>
        <c:scaling>
          <c:orientation val="minMax"/>
        </c:scaling>
        <c:delete val="1"/>
        <c:axPos val="l"/>
        <c:numFmt formatCode="General" sourceLinked="1"/>
        <c:tickLblPos val="none"/>
        <c:crossAx val="167310848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rgbClr val="C0504D"/>
              </a:solidFill>
            </c:spPr>
          </c:dPt>
          <c:dLbls>
            <c:delete val="1"/>
          </c:dLbls>
          <c:cat>
            <c:strRef>
              <c:f>'Вопрос 17'!$A$16:$A$26</c:f>
              <c:strCache>
                <c:ptCount val="11"/>
                <c:pt idx="0">
                  <c:v>Очные курсы повышения квалификации на базе школы или района </c:v>
                </c:pt>
                <c:pt idx="1">
                  <c:v>Стажировка в другой школе как форма повышения квалификации</c:v>
                </c:pt>
                <c:pt idx="2">
                  <c:v>Очные курсы повышения квалификации на базе НИРО</c:v>
                </c:pt>
                <c:pt idx="3">
                  <c:v>Более опытные коллеги (школы с высокими результатами в обучении)</c:v>
                </c:pt>
                <c:pt idx="4">
                  <c:v>Муниципальное методическое объединение учителей </c:v>
                </c:pt>
                <c:pt idx="5">
                  <c:v>Сетевое объединение учителей </c:v>
                </c:pt>
                <c:pt idx="6">
                  <c:v>Методическое сопровождение педагогов со стороны администрации школы</c:v>
                </c:pt>
                <c:pt idx="7">
                  <c:v>Заочные, с использованием дистанционных образовательных технологий курсы повышения квалификации</c:v>
                </c:pt>
                <c:pt idx="8">
                  <c:v>Интернет - источники</c:v>
                </c:pt>
                <c:pt idx="9">
                  <c:v>Методическое объединение (кафедра) учителей в школе </c:v>
                </c:pt>
                <c:pt idx="10">
                  <c:v>Методическая литература </c:v>
                </c:pt>
              </c:strCache>
            </c:strRef>
          </c:cat>
          <c:val>
            <c:numRef>
              <c:f>'Вопрос 17'!$B$16:$B$26</c:f>
              <c:numCache>
                <c:formatCode>General</c:formatCode>
                <c:ptCount val="11"/>
                <c:pt idx="0">
                  <c:v>28</c:v>
                </c:pt>
                <c:pt idx="1">
                  <c:v>28</c:v>
                </c:pt>
                <c:pt idx="2">
                  <c:v>25</c:v>
                </c:pt>
                <c:pt idx="3">
                  <c:v>24</c:v>
                </c:pt>
                <c:pt idx="4">
                  <c:v>20</c:v>
                </c:pt>
                <c:pt idx="5">
                  <c:v>16</c:v>
                </c:pt>
                <c:pt idx="6">
                  <c:v>11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6</c:v>
                </c:pt>
              </c:numCache>
            </c:numRef>
          </c:val>
        </c:ser>
        <c:dLbls>
          <c:showVal val="1"/>
        </c:dLbls>
        <c:shape val="box"/>
        <c:axId val="233218432"/>
        <c:axId val="233219968"/>
        <c:axId val="0"/>
      </c:bar3DChart>
      <c:catAx>
        <c:axId val="23321843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233219968"/>
        <c:crosses val="autoZero"/>
        <c:auto val="1"/>
        <c:lblAlgn val="ctr"/>
        <c:lblOffset val="100"/>
      </c:catAx>
      <c:valAx>
        <c:axId val="233219968"/>
        <c:scaling>
          <c:orientation val="minMax"/>
        </c:scaling>
        <c:delete val="1"/>
        <c:axPos val="l"/>
        <c:numFmt formatCode="General" sourceLinked="1"/>
        <c:tickLblPos val="none"/>
        <c:crossAx val="23321843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cat>
            <c:strRef>
              <c:f>'Вопрос_Формы методподдержки'!$A$14:$A$22</c:f>
              <c:strCache>
                <c:ptCount val="9"/>
                <c:pt idx="0">
                  <c:v>организация отдельных (разовых) мероприятий</c:v>
                </c:pt>
                <c:pt idx="1">
                  <c:v>организация методического сопровождения отдельных педагогов (тьюторская поддержка)</c:v>
                </c:pt>
                <c:pt idx="2">
                  <c:v>проведение консультаций для педагогов школ с низкими результатами </c:v>
                </c:pt>
                <c:pt idx="3">
                  <c:v>организация сетевого объединения учителей </c:v>
                </c:pt>
                <c:pt idx="4">
                  <c:v>участие в сетевых объединениях слабых школ с более сильными</c:v>
                </c:pt>
                <c:pt idx="5">
                  <c:v>участие в проведении экспертизы деятельности педагогов школ с низкими результатами в качестве внешних экспертов</c:v>
                </c:pt>
                <c:pt idx="6">
                  <c:v>разработка методических рекомендаций по применению различных методов обучения </c:v>
                </c:pt>
                <c:pt idx="7">
                  <c:v>организация стажировки для администрации школ с низкими результатами на базе вашей школы по вопросам управления по результатам</c:v>
                </c:pt>
                <c:pt idx="8">
                  <c:v>организация стажировки для учителей школ с низкими результатами на базе вашей школы </c:v>
                </c:pt>
              </c:strCache>
            </c:strRef>
          </c:cat>
          <c:val>
            <c:numRef>
              <c:f>'Вопрос_Формы методподдержки'!$B$14:$B$22</c:f>
              <c:numCache>
                <c:formatCode>General</c:formatCode>
                <c:ptCount val="9"/>
                <c:pt idx="0">
                  <c:v>28</c:v>
                </c:pt>
                <c:pt idx="1">
                  <c:v>23</c:v>
                </c:pt>
                <c:pt idx="2">
                  <c:v>18</c:v>
                </c:pt>
                <c:pt idx="3">
                  <c:v>16</c:v>
                </c:pt>
                <c:pt idx="4">
                  <c:v>16</c:v>
                </c:pt>
                <c:pt idx="5">
                  <c:v>13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dLbls>
          <c:showVal val="1"/>
        </c:dLbls>
        <c:shape val="box"/>
        <c:axId val="233260928"/>
        <c:axId val="233262464"/>
        <c:axId val="0"/>
      </c:bar3DChart>
      <c:catAx>
        <c:axId val="23326092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33262464"/>
        <c:crosses val="autoZero"/>
        <c:auto val="1"/>
        <c:lblAlgn val="ctr"/>
        <c:lblOffset val="100"/>
      </c:catAx>
      <c:valAx>
        <c:axId val="233262464"/>
        <c:scaling>
          <c:orientation val="minMax"/>
        </c:scaling>
        <c:delete val="1"/>
        <c:axPos val="l"/>
        <c:numFmt formatCode="General" sourceLinked="1"/>
        <c:tickLblPos val="none"/>
        <c:crossAx val="23326092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4282560706401772E-2"/>
          <c:y val="7.9960007404170814E-3"/>
          <c:w val="0.95143487858719722"/>
          <c:h val="0.49559905156098305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Вопрос18!$A$16:$A$27</c:f>
              <c:strCache>
                <c:ptCount val="12"/>
                <c:pt idx="0">
                  <c:v>Освоение методов мотивации к саморазвитию и самостоятельности обучающихся </c:v>
                </c:pt>
                <c:pt idx="1">
                  <c:v>Изучение новых образовательных технологий </c:v>
                </c:pt>
                <c:pt idx="2">
                  <c:v>Совершенствование умений проектировать современный урок </c:v>
                </c:pt>
                <c:pt idx="3">
                  <c:v>Повышение уровня методической компетентности </c:v>
                </c:pt>
                <c:pt idx="4">
                  <c:v>Освоение методов работы с трудными учащимися </c:v>
                </c:pt>
                <c:pt idx="5">
                  <c:v>Совершенствование умений оценивать достижение планируемых результатов обучения </c:v>
                </c:pt>
                <c:pt idx="6">
                  <c:v>Знакомство с новыми дидактическими идеями и концепциями </c:v>
                </c:pt>
                <c:pt idx="7">
                  <c:v>Приобретение новых предметных знаний и умений </c:v>
                </c:pt>
                <c:pt idx="8">
                  <c:v>Повышение уровня знаний в возрастной психологии </c:v>
                </c:pt>
                <c:pt idx="9">
                  <c:v>Изучение нормативно правовой документации </c:v>
                </c:pt>
                <c:pt idx="10">
                  <c:v>Повышение уровня информационной компетентности </c:v>
                </c:pt>
                <c:pt idx="11">
                  <c:v>Знакомство с авторами учебных комплектов и образовательных технологий </c:v>
                </c:pt>
              </c:strCache>
            </c:strRef>
          </c:cat>
          <c:val>
            <c:numRef>
              <c:f>Вопрос18!$B$16:$B$27</c:f>
              <c:numCache>
                <c:formatCode>General</c:formatCode>
                <c:ptCount val="12"/>
                <c:pt idx="0">
                  <c:v>45</c:v>
                </c:pt>
                <c:pt idx="1">
                  <c:v>27</c:v>
                </c:pt>
                <c:pt idx="2">
                  <c:v>27</c:v>
                </c:pt>
                <c:pt idx="3">
                  <c:v>22</c:v>
                </c:pt>
                <c:pt idx="4">
                  <c:v>20</c:v>
                </c:pt>
                <c:pt idx="5">
                  <c:v>18</c:v>
                </c:pt>
                <c:pt idx="6">
                  <c:v>16</c:v>
                </c:pt>
                <c:pt idx="7">
                  <c:v>11</c:v>
                </c:pt>
                <c:pt idx="8">
                  <c:v>10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showVal val="1"/>
        </c:dLbls>
        <c:shape val="box"/>
        <c:axId val="233290752"/>
        <c:axId val="233296640"/>
        <c:axId val="0"/>
      </c:bar3DChart>
      <c:catAx>
        <c:axId val="23329075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33296640"/>
        <c:crosses val="autoZero"/>
        <c:auto val="1"/>
        <c:lblAlgn val="ctr"/>
        <c:lblOffset val="100"/>
      </c:catAx>
      <c:valAx>
        <c:axId val="233296640"/>
        <c:scaling>
          <c:orientation val="minMax"/>
        </c:scaling>
        <c:delete val="1"/>
        <c:axPos val="l"/>
        <c:numFmt formatCode="General" sourceLinked="1"/>
        <c:tickLblPos val="none"/>
        <c:crossAx val="23329075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8"/>
            <c:spPr>
              <a:solidFill>
                <a:schemeClr val="accent2"/>
              </a:solidFill>
            </c:spPr>
          </c:dPt>
          <c:dPt>
            <c:idx val="9"/>
            <c:spPr>
              <a:solidFill>
                <a:schemeClr val="accent2"/>
              </a:solidFill>
            </c:spPr>
          </c:dPt>
          <c:dPt>
            <c:idx val="10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19'!$A$15:$A$25</c:f>
              <c:strCache>
                <c:ptCount val="11"/>
                <c:pt idx="0">
                  <c:v>Лекции </c:v>
                </c:pt>
                <c:pt idx="1">
                  <c:v>Конференции </c:v>
                </c:pt>
                <c:pt idx="2">
                  <c:v>Вебинары </c:v>
                </c:pt>
                <c:pt idx="3">
                  <c:v> Семинары </c:v>
                </c:pt>
                <c:pt idx="4">
                  <c:v>Самообследование и саморефлексия</c:v>
                </c:pt>
                <c:pt idx="5">
                  <c:v>Педагогические мастерские </c:v>
                </c:pt>
                <c:pt idx="6">
                  <c:v>Круглые столы </c:v>
                </c:pt>
                <c:pt idx="7">
                  <c:v>Практические занятия в форме дискуссий</c:v>
                </c:pt>
                <c:pt idx="8">
                  <c:v>Практические занятия с решением заданий ЕГЭ </c:v>
                </c:pt>
                <c:pt idx="9">
                  <c:v>Выездные стажировки с посещением и анализом уроков педагогов-практиков</c:v>
                </c:pt>
                <c:pt idx="10">
                  <c:v>Мастерклассы учителей, имеющих высокие результаты</c:v>
                </c:pt>
              </c:strCache>
            </c:strRef>
          </c:cat>
          <c:val>
            <c:numRef>
              <c:f>'Вопрос 19'!$B$15:$B$25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31</c:v>
                </c:pt>
                <c:pt idx="8">
                  <c:v>38</c:v>
                </c:pt>
                <c:pt idx="9">
                  <c:v>40</c:v>
                </c:pt>
                <c:pt idx="10">
                  <c:v>49</c:v>
                </c:pt>
              </c:numCache>
            </c:numRef>
          </c:val>
        </c:ser>
        <c:dLbls>
          <c:showVal val="1"/>
        </c:dLbls>
        <c:shape val="box"/>
        <c:axId val="233316352"/>
        <c:axId val="233317888"/>
        <c:axId val="0"/>
      </c:bar3DChart>
      <c:catAx>
        <c:axId val="233316352"/>
        <c:scaling>
          <c:orientation val="minMax"/>
        </c:scaling>
        <c:axPos val="l"/>
        <c:majorTickMark val="none"/>
        <c:tickLblPos val="nextTo"/>
        <c:crossAx val="233317888"/>
        <c:crosses val="autoZero"/>
        <c:auto val="1"/>
        <c:lblAlgn val="ctr"/>
        <c:lblOffset val="100"/>
      </c:catAx>
      <c:valAx>
        <c:axId val="233317888"/>
        <c:scaling>
          <c:orientation val="minMax"/>
        </c:scaling>
        <c:delete val="1"/>
        <c:axPos val="b"/>
        <c:numFmt formatCode="General" sourceLinked="1"/>
        <c:tickLblPos val="none"/>
        <c:crossAx val="2333163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8441101578720613"/>
          <c:y val="1.6543170198963268E-3"/>
          <c:w val="0.49052990489860493"/>
          <c:h val="0.97941447795216086"/>
        </c:manualLayout>
      </c:layout>
      <c:bar3DChart>
        <c:barDir val="bar"/>
        <c:grouping val="clustered"/>
        <c:ser>
          <c:idx val="0"/>
          <c:order val="0"/>
          <c:dPt>
            <c:idx val="8"/>
            <c:spPr>
              <a:solidFill>
                <a:srgbClr val="C0504D"/>
              </a:solidFill>
            </c:spPr>
          </c:dPt>
          <c:dPt>
            <c:idx val="9"/>
            <c:spPr>
              <a:solidFill>
                <a:srgbClr val="C0504D"/>
              </a:solidFill>
            </c:spPr>
          </c:dPt>
          <c:dPt>
            <c:idx val="10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6'!$A$16:$A$26</c:f>
              <c:strCache>
                <c:ptCount val="11"/>
                <c:pt idx="0">
                  <c:v>Невозможность привлечь ресурсы предприятий и организаций к организации процесса обучения</c:v>
                </c:pt>
                <c:pt idx="1">
                  <c:v>Отсутствие анализа соответствия текущих результатов и результатов государственной итоговой аттестации</c:v>
                </c:pt>
                <c:pt idx="2">
                  <c:v>Не использование  технологий организации проектной и исследовательской  деятельности обучающихся</c:v>
                </c:pt>
                <c:pt idx="3">
                  <c:v>Неизменность содержания обучения в рабочих программах по предмету</c:v>
                </c:pt>
                <c:pt idx="4">
                  <c:v>Отсутствие системы контроля и диагностики результатов обучающихся </c:v>
                </c:pt>
                <c:pt idx="5">
                  <c:v>Отсутствие факультативов, элективов, дополнительных занятий для подготовки к сдаче экзаменов</c:v>
                </c:pt>
                <c:pt idx="6">
                  <c:v>Отсутствие мероприятий в основной школе для учащихся по определению профильной направленности личности (система сопровождения выбора)</c:v>
                </c:pt>
                <c:pt idx="7">
                  <c:v>Не использование  методик дифференциации в образовательной деятельности</c:v>
                </c:pt>
                <c:pt idx="8">
                  <c:v>Отсутствие мероприятий в школе по привлечению родителей (законных представителей) к подготовке к ЕГЭ</c:v>
                </c:pt>
                <c:pt idx="9">
                  <c:v>Отсутствие анализа пробных экзаменов     </c:v>
                </c:pt>
                <c:pt idx="10">
                  <c:v>Отсутствие индивидуальных образовательных маршрутов</c:v>
                </c:pt>
              </c:strCache>
            </c:strRef>
          </c:cat>
          <c:val>
            <c:numRef>
              <c:f>'Вопрос 6'!$B$16:$B$26</c:f>
              <c:numCache>
                <c:formatCode>0.00</c:formatCode>
                <c:ptCount val="11"/>
                <c:pt idx="0">
                  <c:v>1.9772727272727304</c:v>
                </c:pt>
                <c:pt idx="1">
                  <c:v>2.0625</c:v>
                </c:pt>
                <c:pt idx="2">
                  <c:v>2.0909090909090908</c:v>
                </c:pt>
                <c:pt idx="3">
                  <c:v>2.0975609756097562</c:v>
                </c:pt>
                <c:pt idx="4">
                  <c:v>2.1875000000000067</c:v>
                </c:pt>
                <c:pt idx="5">
                  <c:v>2.25</c:v>
                </c:pt>
                <c:pt idx="6">
                  <c:v>2.4285714285714355</c:v>
                </c:pt>
                <c:pt idx="7">
                  <c:v>2.4482758620689653</c:v>
                </c:pt>
                <c:pt idx="8">
                  <c:v>2.6086956521739193</c:v>
                </c:pt>
                <c:pt idx="9">
                  <c:v>2.6666666666666665</c:v>
                </c:pt>
                <c:pt idx="10">
                  <c:v>2.7234042553191569</c:v>
                </c:pt>
              </c:numCache>
            </c:numRef>
          </c:val>
        </c:ser>
        <c:dLbls>
          <c:showVal val="1"/>
        </c:dLbls>
        <c:shape val="box"/>
        <c:axId val="152724608"/>
        <c:axId val="152738048"/>
        <c:axId val="0"/>
      </c:bar3DChart>
      <c:catAx>
        <c:axId val="1527246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2738048"/>
        <c:crosses val="autoZero"/>
        <c:auto val="1"/>
        <c:lblAlgn val="ctr"/>
        <c:lblOffset val="100"/>
      </c:catAx>
      <c:valAx>
        <c:axId val="152738048"/>
        <c:scaling>
          <c:orientation val="minMax"/>
        </c:scaling>
        <c:delete val="1"/>
        <c:axPos val="b"/>
        <c:numFmt formatCode="0.00" sourceLinked="1"/>
        <c:tickLblPos val="none"/>
        <c:crossAx val="1527246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6"/>
            <c:spPr>
              <a:solidFill>
                <a:srgbClr val="C0504D"/>
              </a:solidFill>
            </c:spPr>
          </c:dPt>
          <c:dPt>
            <c:idx val="7"/>
            <c:spPr>
              <a:solidFill>
                <a:srgbClr val="C0504D"/>
              </a:solidFill>
            </c:spPr>
          </c:dPt>
          <c:dPt>
            <c:idx val="8"/>
            <c:spPr>
              <a:solidFill>
                <a:srgbClr val="C0504D"/>
              </a:solidFill>
            </c:spPr>
          </c:dPt>
          <c:dPt>
            <c:idx val="9"/>
            <c:spPr>
              <a:solidFill>
                <a:srgbClr val="C0504D"/>
              </a:solidFill>
            </c:spPr>
          </c:dPt>
          <c:dPt>
            <c:idx val="10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6'!$A$14:$A$24</c:f>
              <c:strCache>
                <c:ptCount val="11"/>
                <c:pt idx="0">
                  <c:v>Привлечение ресурсов предприятий и организаций к организации процесса обучения</c:v>
                </c:pt>
                <c:pt idx="1">
                  <c:v>Использование технологий организации проектной и исследовательской  деятельности обучающихся</c:v>
                </c:pt>
                <c:pt idx="2">
                  <c:v>Выстраивание индивидуальных образовательных маршрутов</c:v>
                </c:pt>
                <c:pt idx="3">
                  <c:v>Наличие мероприятий в школе по привлечению родителей (законных представителей) к подготовке к ЕГЭ</c:v>
                </c:pt>
                <c:pt idx="4">
                  <c:v>Изменения, вносимые учителем в содержание обучения при разработке рабочих программ по предмету</c:v>
                </c:pt>
                <c:pt idx="5">
                  <c:v>Наличие мероприятий в основной школе для учащихся по определению профильной направленности личности (система сопровождения выбора)</c:v>
                </c:pt>
                <c:pt idx="6">
                  <c:v>Использование  методик дифференциации</c:v>
                </c:pt>
                <c:pt idx="7">
                  <c:v>Наличие анализа соответствия текущих результатов и результатов государственной итоговой аттестации</c:v>
                </c:pt>
                <c:pt idx="8">
                  <c:v>Корректировка образовательной деятельности по результатам анализа пробных экзаменов     </c:v>
                </c:pt>
                <c:pt idx="9">
                  <c:v>Системность контроля и диагностики результатов обучающихся </c:v>
                </c:pt>
                <c:pt idx="10">
                  <c:v>Наличие факультативов, элективов, дополнительных занятий для подготовки к сдаче экзаменов</c:v>
                </c:pt>
              </c:strCache>
            </c:strRef>
          </c:cat>
          <c:val>
            <c:numRef>
              <c:f>'Вопрос 6'!$B$14:$B$24</c:f>
              <c:numCache>
                <c:formatCode>0.0</c:formatCode>
                <c:ptCount val="11"/>
                <c:pt idx="0">
                  <c:v>1.3958333333333333</c:v>
                </c:pt>
                <c:pt idx="1">
                  <c:v>3.551020408163259</c:v>
                </c:pt>
                <c:pt idx="2">
                  <c:v>3.5918367346938767</c:v>
                </c:pt>
                <c:pt idx="3">
                  <c:v>3.6122448979591777</c:v>
                </c:pt>
                <c:pt idx="4">
                  <c:v>3.6122448979591777</c:v>
                </c:pt>
                <c:pt idx="5">
                  <c:v>3.7959183673469412</c:v>
                </c:pt>
                <c:pt idx="6">
                  <c:v>4.0408163265306065</c:v>
                </c:pt>
                <c:pt idx="7">
                  <c:v>4.1428571428571415</c:v>
                </c:pt>
                <c:pt idx="8">
                  <c:v>4.25</c:v>
                </c:pt>
                <c:pt idx="9">
                  <c:v>4.4693877551020424</c:v>
                </c:pt>
                <c:pt idx="10">
                  <c:v>4.5306122448979576</c:v>
                </c:pt>
              </c:numCache>
            </c:numRef>
          </c:val>
        </c:ser>
        <c:dLbls>
          <c:showVal val="1"/>
        </c:dLbls>
        <c:shape val="box"/>
        <c:axId val="161401856"/>
        <c:axId val="161412608"/>
        <c:axId val="0"/>
      </c:bar3DChart>
      <c:catAx>
        <c:axId val="1614018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412608"/>
        <c:crosses val="autoZero"/>
        <c:auto val="1"/>
        <c:lblAlgn val="ctr"/>
        <c:lblOffset val="100"/>
      </c:catAx>
      <c:valAx>
        <c:axId val="161412608"/>
        <c:scaling>
          <c:orientation val="minMax"/>
        </c:scaling>
        <c:delete val="1"/>
        <c:axPos val="b"/>
        <c:numFmt formatCode="0.0" sourceLinked="1"/>
        <c:tickLblPos val="none"/>
        <c:crossAx val="161401856"/>
        <c:crosses val="autoZero"/>
        <c:crossBetween val="between"/>
      </c:valAx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9987729658792768"/>
          <c:y val="1.134751773049646E-2"/>
          <c:w val="0.47333114610673549"/>
          <c:h val="0.95744680851063835"/>
        </c:manualLayout>
      </c:layout>
      <c:bar3DChart>
        <c:barDir val="bar"/>
        <c:grouping val="clustered"/>
        <c:ser>
          <c:idx val="0"/>
          <c:order val="0"/>
          <c:dPt>
            <c:idx val="5"/>
            <c:spPr>
              <a:solidFill>
                <a:schemeClr val="accent2"/>
              </a:solidFill>
            </c:spPr>
          </c:dPt>
          <c:dPt>
            <c:idx val="6"/>
            <c:spPr>
              <a:solidFill>
                <a:schemeClr val="accent2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chemeClr val="accent2"/>
              </a:solidFill>
            </c:spPr>
          </c:dPt>
          <c:dPt>
            <c:idx val="9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8'!$A$14:$A$23</c:f>
              <c:strCache>
                <c:ptCount val="10"/>
                <c:pt idx="0">
                  <c:v>Желание учителей, чтобы учащиеся сдавали экзамены по выбору по их предмету</c:v>
                </c:pt>
                <c:pt idx="1">
                  <c:v>Желание учителей, чтобы учащиеся не сдавали экзамены по выбору по их предмету</c:v>
                </c:pt>
                <c:pt idx="2">
                  <c:v>Преобладание в коллективе учителей с высшей квалификационной категорией</c:v>
                </c:pt>
                <c:pt idx="3">
                  <c:v>Преобладание в коллективе учителей, соответствующих занимаемой должности</c:v>
                </c:pt>
                <c:pt idx="4">
                  <c:v>Привлечение дополнительных кадров для подготовки учащихся к сдаче ЕГЭ</c:v>
                </c:pt>
                <c:pt idx="5">
                  <c:v>Нацеленность учителей на «натаскивание» учащихся к сдаче ЕГЭ </c:v>
                </c:pt>
                <c:pt idx="6">
                  <c:v>Преобладание в коллективе учителей с первой квалификационной категорией</c:v>
                </c:pt>
                <c:pt idx="7">
                  <c:v>Неукомплектованность кадров</c:v>
                </c:pt>
                <c:pt idx="8">
                  <c:v>Дефицитность учителей конкретных предметов: один учитель ведет несколько предметов</c:v>
                </c:pt>
                <c:pt idx="9">
                  <c:v>Ненацеленность учителей на оказание помощи учащимся при подготовке к сдаче ЕГЭ </c:v>
                </c:pt>
              </c:strCache>
            </c:strRef>
          </c:cat>
          <c:val>
            <c:numRef>
              <c:f>'Вопрос 8'!$B$14:$B$23</c:f>
              <c:numCache>
                <c:formatCode>0.00</c:formatCode>
                <c:ptCount val="10"/>
                <c:pt idx="0">
                  <c:v>2.2000000000000002</c:v>
                </c:pt>
                <c:pt idx="1">
                  <c:v>2.2325581395348744</c:v>
                </c:pt>
                <c:pt idx="2">
                  <c:v>2.2916666666666665</c:v>
                </c:pt>
                <c:pt idx="3">
                  <c:v>2.4666666666666668</c:v>
                </c:pt>
                <c:pt idx="4">
                  <c:v>2.4761904761904772</c:v>
                </c:pt>
                <c:pt idx="5">
                  <c:v>2.5925925925925952</c:v>
                </c:pt>
                <c:pt idx="6">
                  <c:v>2.5957446808510638</c:v>
                </c:pt>
                <c:pt idx="7">
                  <c:v>2.6428571428571432</c:v>
                </c:pt>
                <c:pt idx="8">
                  <c:v>2.8846153846153837</c:v>
                </c:pt>
                <c:pt idx="9">
                  <c:v>3.4090909090909087</c:v>
                </c:pt>
              </c:numCache>
            </c:numRef>
          </c:val>
        </c:ser>
        <c:dLbls>
          <c:showVal val="1"/>
        </c:dLbls>
        <c:shape val="box"/>
        <c:axId val="164701696"/>
        <c:axId val="164741504"/>
        <c:axId val="0"/>
      </c:bar3DChart>
      <c:catAx>
        <c:axId val="1647016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4741504"/>
        <c:crosses val="autoZero"/>
        <c:auto val="1"/>
        <c:lblAlgn val="ctr"/>
        <c:lblOffset val="100"/>
      </c:catAx>
      <c:valAx>
        <c:axId val="164741504"/>
        <c:scaling>
          <c:orientation val="minMax"/>
        </c:scaling>
        <c:delete val="1"/>
        <c:axPos val="b"/>
        <c:numFmt formatCode="0.00" sourceLinked="1"/>
        <c:tickLblPos val="none"/>
        <c:crossAx val="1647016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chemeClr val="accent2"/>
              </a:solidFill>
            </c:spPr>
          </c:dPt>
          <c:dPt>
            <c:idx val="9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8'!$A$15:$A$24</c:f>
              <c:strCache>
                <c:ptCount val="10"/>
                <c:pt idx="0">
                  <c:v>Привлечение дополнительных кадров для подготовки учащихся к сдаче ЕГЭ</c:v>
                </c:pt>
                <c:pt idx="1">
                  <c:v>Дефицитность учителей конкретных предметов: один учитель ведет несколько предметов</c:v>
                </c:pt>
                <c:pt idx="2">
                  <c:v>Желание учителей, чтобы учащиеся не сдавали экзамены по выбору по их предмету</c:v>
                </c:pt>
                <c:pt idx="3">
                  <c:v>Преобладание в коллективе учителей, соответствующих занимаемой должности</c:v>
                </c:pt>
                <c:pt idx="4">
                  <c:v>Нацеленность учителей на «натаскивание» учащихся к сдаче ЕГЭ </c:v>
                </c:pt>
                <c:pt idx="5">
                  <c:v>Преобладание в коллективе учителей с первой квалификационной категорией</c:v>
                </c:pt>
                <c:pt idx="6">
                  <c:v>Желание учителей, чтобы учащиеся сдавали экзамены по выбору по их предмету</c:v>
                </c:pt>
                <c:pt idx="7">
                  <c:v>Преобладание в коллективе учителей с высшей квалификационной категорией</c:v>
                </c:pt>
                <c:pt idx="8">
                  <c:v>Укомплектованность кадров</c:v>
                </c:pt>
                <c:pt idx="9">
                  <c:v>Нацеленность учителей на оказание помощи учащимся при подготовке к сдаче ЕГЭ </c:v>
                </c:pt>
              </c:strCache>
            </c:strRef>
          </c:cat>
          <c:val>
            <c:numRef>
              <c:f>'Вопрос 8'!$B$15:$B$24</c:f>
              <c:numCache>
                <c:formatCode>0.0</c:formatCode>
                <c:ptCount val="10"/>
                <c:pt idx="0">
                  <c:v>0.57894736842105254</c:v>
                </c:pt>
                <c:pt idx="1">
                  <c:v>0.94736842105263042</c:v>
                </c:pt>
                <c:pt idx="2">
                  <c:v>1.4210526315789473</c:v>
                </c:pt>
                <c:pt idx="3">
                  <c:v>1.5263157894736843</c:v>
                </c:pt>
                <c:pt idx="4">
                  <c:v>2.4736842105263208</c:v>
                </c:pt>
                <c:pt idx="5">
                  <c:v>2.5263157894736827</c:v>
                </c:pt>
                <c:pt idx="6">
                  <c:v>3.1052631578947372</c:v>
                </c:pt>
                <c:pt idx="7">
                  <c:v>4.2777777777777777</c:v>
                </c:pt>
                <c:pt idx="8">
                  <c:v>4.4210526315789478</c:v>
                </c:pt>
                <c:pt idx="9">
                  <c:v>4.6315789473684132</c:v>
                </c:pt>
              </c:numCache>
            </c:numRef>
          </c:val>
        </c:ser>
        <c:dLbls>
          <c:showVal val="1"/>
        </c:dLbls>
        <c:shape val="box"/>
        <c:axId val="233233792"/>
        <c:axId val="233239680"/>
        <c:axId val="0"/>
      </c:bar3DChart>
      <c:catAx>
        <c:axId val="2332337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33239680"/>
        <c:crosses val="autoZero"/>
        <c:auto val="1"/>
        <c:lblAlgn val="ctr"/>
        <c:lblOffset val="100"/>
      </c:catAx>
      <c:valAx>
        <c:axId val="233239680"/>
        <c:scaling>
          <c:orientation val="minMax"/>
        </c:scaling>
        <c:delete val="1"/>
        <c:axPos val="b"/>
        <c:numFmt formatCode="0.0" sourceLinked="1"/>
        <c:tickLblPos val="none"/>
        <c:crossAx val="2332337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3004772774434871E-3"/>
          <c:y val="1.3224039596314867E-2"/>
          <c:w val="0.98132392612575159"/>
          <c:h val="0.48732605962563336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10'!$A$22:$A$37</c:f>
              <c:strCache>
                <c:ptCount val="16"/>
                <c:pt idx="0">
                  <c:v>Неумение формировать мотивацию к обучению</c:v>
                </c:pt>
                <c:pt idx="1">
                  <c:v>Неумение разрабатывать и реализовывать индивидуальные образовательные маршруты с учетом личностных и возрастных особенностей обучающихся</c:v>
                </c:pt>
                <c:pt idx="2">
                  <c:v>невладение методами формирования самостоятельности обучающихся</c:v>
                </c:pt>
                <c:pt idx="3">
                  <c:v>Неумение осуществлять систематический анализ эффективности учебных занятий и подходов к обучению</c:v>
                </c:pt>
                <c:pt idx="4">
                  <c:v>Неумение работать с учащимися, имеющими проблемы в поведении</c:v>
                </c:pt>
                <c:pt idx="5">
                  <c:v>Неумение осуществлять взаимодействие с семьями учащихся</c:v>
                </c:pt>
                <c:pt idx="6">
                  <c:v>отсутствие навыка организации проектной и исследовательской деятельности обучающихся</c:v>
                </c:pt>
                <c:pt idx="7">
                  <c:v>Неумение доносить до учащихся ценность учебного знания и предметной информации</c:v>
                </c:pt>
                <c:pt idx="8">
                  <c:v>Неумение осуществлять объективную оценку знаний обучающихся на основе тестирования и других методов контроля в соответствии с реальными учебными возможностями детей</c:v>
                </c:pt>
                <c:pt idx="9">
                  <c:v>Невладение методами включения в образовательный процесс обучающихся, проявивших выдающиеся способности</c:v>
                </c:pt>
                <c:pt idx="10">
                  <c:v>невладение методами включения в образовательный процесс обучающихся, для которых русский язык не является родным</c:v>
                </c:pt>
                <c:pt idx="11">
                  <c:v>Низкая ИКТ-компетентность</c:v>
                </c:pt>
                <c:pt idx="12">
                  <c:v>Невладение методами включения в образовательный процесс обучающихся с ограниченными возможностями здоровья</c:v>
                </c:pt>
                <c:pt idx="13">
                  <c:v>Отсуствие знаний в основной предметной области (областях)</c:v>
                </c:pt>
                <c:pt idx="14">
                  <c:v>Невладение методиками преподавании предметной области (областей)</c:v>
                </c:pt>
                <c:pt idx="15">
                  <c:v>Отсутствие знаний требований ФГОС</c:v>
                </c:pt>
              </c:strCache>
            </c:strRef>
          </c:cat>
          <c:val>
            <c:numRef>
              <c:f>'Вопрос 10'!$B$22:$B$37</c:f>
              <c:numCache>
                <c:formatCode>General</c:formatCode>
                <c:ptCount val="16"/>
                <c:pt idx="0">
                  <c:v>53</c:v>
                </c:pt>
                <c:pt idx="1">
                  <c:v>41</c:v>
                </c:pt>
                <c:pt idx="2">
                  <c:v>39</c:v>
                </c:pt>
                <c:pt idx="3">
                  <c:v>29</c:v>
                </c:pt>
                <c:pt idx="4">
                  <c:v>29</c:v>
                </c:pt>
                <c:pt idx="5">
                  <c:v>18</c:v>
                </c:pt>
                <c:pt idx="6">
                  <c:v>15</c:v>
                </c:pt>
                <c:pt idx="7">
                  <c:v>12</c:v>
                </c:pt>
                <c:pt idx="8">
                  <c:v>11</c:v>
                </c:pt>
                <c:pt idx="9">
                  <c:v>8</c:v>
                </c:pt>
                <c:pt idx="10">
                  <c:v>4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Val val="1"/>
        </c:dLbls>
        <c:shape val="box"/>
        <c:axId val="241355392"/>
        <c:axId val="246415744"/>
        <c:axId val="0"/>
      </c:bar3DChart>
      <c:catAx>
        <c:axId val="24135539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46415744"/>
        <c:crosses val="autoZero"/>
        <c:auto val="1"/>
        <c:lblAlgn val="ctr"/>
        <c:lblOffset val="100"/>
      </c:catAx>
      <c:valAx>
        <c:axId val="246415744"/>
        <c:scaling>
          <c:orientation val="minMax"/>
        </c:scaling>
        <c:delete val="1"/>
        <c:axPos val="l"/>
        <c:numFmt formatCode="General" sourceLinked="1"/>
        <c:tickLblPos val="none"/>
        <c:crossAx val="2413553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8212922320880186"/>
          <c:y val="3.8903625110521672E-2"/>
          <c:w val="0.50841451201578525"/>
          <c:h val="0.92219274977895527"/>
        </c:manualLayout>
      </c:layout>
      <c:bar3DChart>
        <c:barDir val="bar"/>
        <c:grouping val="clustered"/>
        <c:ser>
          <c:idx val="0"/>
          <c:order val="0"/>
          <c:dPt>
            <c:idx val="13"/>
            <c:spPr>
              <a:solidFill>
                <a:schemeClr val="accent2"/>
              </a:solidFill>
            </c:spPr>
          </c:dPt>
          <c:dPt>
            <c:idx val="14"/>
            <c:spPr>
              <a:solidFill>
                <a:schemeClr val="accent2"/>
              </a:solidFill>
            </c:spPr>
          </c:dPt>
          <c:dPt>
            <c:idx val="15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10'!$A$20:$A$35</c:f>
              <c:strCache>
                <c:ptCount val="16"/>
                <c:pt idx="0">
                  <c:v>владение методами включения в образовательный процесс обучающихся, для которых русский язык не является родным</c:v>
                </c:pt>
                <c:pt idx="1">
                  <c:v>владение методами включения в образовательный процесс обучающихся с ограниченными возможностями здоровья</c:v>
                </c:pt>
                <c:pt idx="2">
                  <c:v>навык организации проектной и исследовательской деятельности обучающихся</c:v>
                </c:pt>
                <c:pt idx="3">
                  <c:v>умение разрабатывать и реализовывать индивидуальные образовательные маршруты с учетом личностных и возрастных особенностей обучающихся</c:v>
                </c:pt>
                <c:pt idx="4">
                  <c:v>умение работать с учащимися, имеющими проблемы в поведении</c:v>
                </c:pt>
                <c:pt idx="5">
                  <c:v>ИКТ-компетентность</c:v>
                </c:pt>
                <c:pt idx="6">
                  <c:v>знания требований ФГОС</c:v>
                </c:pt>
                <c:pt idx="7">
                  <c:v>владение методами включения в образовательный процесс обучающихся, проявивших выдающиеся способности</c:v>
                </c:pt>
                <c:pt idx="8">
                  <c:v>умение осуществлять взаимодействие с семьями учащихся</c:v>
                </c:pt>
                <c:pt idx="9">
                  <c:v>владение методами формирования самостоятельности обучающихся</c:v>
                </c:pt>
                <c:pt idx="10">
                  <c:v>умение осуществлять систематический анализ эффективности учебных занятий и подходов к обучению</c:v>
                </c:pt>
                <c:pt idx="11">
                  <c:v>умение формировать мотивацию к обучению</c:v>
                </c:pt>
                <c:pt idx="12">
                  <c:v>умение доносить до учащихся ценность учебного знания и предметной информации</c:v>
                </c:pt>
                <c:pt idx="13">
                  <c:v>умение осуществлять объективную оценку знаний обучающихся на основе тестирования и других методов контроля в соответствии с реальными учебными возможностями детей</c:v>
                </c:pt>
                <c:pt idx="14">
                  <c:v>знания в основной предметной области (областях)</c:v>
                </c:pt>
                <c:pt idx="15">
                  <c:v>владение методиками преподавании предметной области (областей)</c:v>
                </c:pt>
              </c:strCache>
            </c:strRef>
          </c:cat>
          <c:val>
            <c:numRef>
              <c:f>'Вопрос 10'!$B$20:$B$35</c:f>
              <c:numCache>
                <c:formatCode>0.0</c:formatCode>
                <c:ptCount val="16"/>
                <c:pt idx="0">
                  <c:v>1.5454545454545454</c:v>
                </c:pt>
                <c:pt idx="1">
                  <c:v>2.8444444444444437</c:v>
                </c:pt>
                <c:pt idx="2">
                  <c:v>3.7777777777777857</c:v>
                </c:pt>
                <c:pt idx="3">
                  <c:v>3.8863636363636327</c:v>
                </c:pt>
                <c:pt idx="4">
                  <c:v>3.911111111111111</c:v>
                </c:pt>
                <c:pt idx="5">
                  <c:v>4.0652173913043494</c:v>
                </c:pt>
                <c:pt idx="6">
                  <c:v>4.0666666666666664</c:v>
                </c:pt>
                <c:pt idx="7">
                  <c:v>4.1086956521739095</c:v>
                </c:pt>
                <c:pt idx="8">
                  <c:v>4.155555555555539</c:v>
                </c:pt>
                <c:pt idx="9">
                  <c:v>4.2444444444444454</c:v>
                </c:pt>
                <c:pt idx="10">
                  <c:v>4.3043478260869401</c:v>
                </c:pt>
                <c:pt idx="11">
                  <c:v>4.3260869565217277</c:v>
                </c:pt>
                <c:pt idx="12">
                  <c:v>4.3863636363636482</c:v>
                </c:pt>
                <c:pt idx="13">
                  <c:v>4.4565217391304364</c:v>
                </c:pt>
                <c:pt idx="14">
                  <c:v>4.6888888888888856</c:v>
                </c:pt>
                <c:pt idx="15">
                  <c:v>4.7777777777777777</c:v>
                </c:pt>
              </c:numCache>
            </c:numRef>
          </c:val>
        </c:ser>
        <c:dLbls>
          <c:showVal val="1"/>
        </c:dLbls>
        <c:shape val="box"/>
        <c:axId val="161665792"/>
        <c:axId val="161667328"/>
        <c:axId val="0"/>
      </c:bar3DChart>
      <c:catAx>
        <c:axId val="1616657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667328"/>
        <c:crosses val="autoZero"/>
        <c:auto val="1"/>
        <c:lblAlgn val="ctr"/>
        <c:lblOffset val="100"/>
      </c:catAx>
      <c:valAx>
        <c:axId val="161667328"/>
        <c:scaling>
          <c:orientation val="minMax"/>
        </c:scaling>
        <c:delete val="1"/>
        <c:axPos val="b"/>
        <c:numFmt formatCode="0.0" sourceLinked="1"/>
        <c:tickLblPos val="none"/>
        <c:crossAx val="16166579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2845275181724085E-2"/>
          <c:y val="2.6618274884276375E-2"/>
          <c:w val="0.95430944963655262"/>
          <c:h val="0.47471008173453738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11'!$A$24:$A$41</c:f>
              <c:strCache>
                <c:ptCount val="18"/>
                <c:pt idx="0">
                  <c:v>Умение осуществлять мотивацию персонала</c:v>
                </c:pt>
                <c:pt idx="1">
                  <c:v>Владение способами повышения профессиональной компетентности учителей </c:v>
                </c:pt>
                <c:pt idx="2">
                  <c:v>Умение  управлять проектами</c:v>
                </c:pt>
                <c:pt idx="3">
                  <c:v>Умение оценивать качества образования </c:v>
                </c:pt>
                <c:pt idx="4">
                  <c:v>Лидерство в педагогическом коллективе </c:v>
                </c:pt>
                <c:pt idx="5">
                  <c:v>Умение разрабатывать программу развития школы </c:v>
                </c:pt>
                <c:pt idx="6">
                  <c:v>Знание основ гражданского, административного, трудового, бюджетного, налогового законодательства </c:v>
                </c:pt>
                <c:pt idx="7">
                  <c:v>Знание экономико-финансовых основ управления современной школой, менеджмента </c:v>
                </c:pt>
                <c:pt idx="8">
                  <c:v>Умение управлять персоналом </c:v>
                </c:pt>
                <c:pt idx="9">
                  <c:v>Владение способами организации финансово-хозяйственной деятельности образовательного учреждения</c:v>
                </c:pt>
                <c:pt idx="10">
                  <c:v>Знание психологии и возрастной психологии</c:v>
                </c:pt>
                <c:pt idx="11">
                  <c:v>Умение разрешать конфликты</c:v>
                </c:pt>
                <c:pt idx="12">
                  <c:v>Знание современных образовательных технологий </c:v>
                </c:pt>
                <c:pt idx="13">
                  <c:v>Знание тенденций государственной политики в системе общего образования Российской Федерации </c:v>
                </c:pt>
                <c:pt idx="14">
                  <c:v>Знание правовых основ управления школой, законодательства в области образования</c:v>
                </c:pt>
                <c:pt idx="15">
                  <c:v>Умение  организовать государственную итоговую аттестацию</c:v>
                </c:pt>
                <c:pt idx="16">
                  <c:v>Владение информационно-коммуникационными технологиями</c:v>
                </c:pt>
                <c:pt idx="17">
                  <c:v>Знание педагогики </c:v>
                </c:pt>
              </c:strCache>
            </c:strRef>
          </c:cat>
          <c:val>
            <c:numRef>
              <c:f>'Вопрос 11'!$B$24:$B$41</c:f>
              <c:numCache>
                <c:formatCode>General</c:formatCode>
                <c:ptCount val="18"/>
                <c:pt idx="0">
                  <c:v>32</c:v>
                </c:pt>
                <c:pt idx="1">
                  <c:v>18</c:v>
                </c:pt>
                <c:pt idx="2">
                  <c:v>16</c:v>
                </c:pt>
                <c:pt idx="3">
                  <c:v>11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0</c:v>
                </c:pt>
              </c:numCache>
            </c:numRef>
          </c:val>
        </c:ser>
        <c:dLbls>
          <c:showVal val="1"/>
        </c:dLbls>
        <c:shape val="box"/>
        <c:axId val="161695616"/>
        <c:axId val="161697152"/>
        <c:axId val="0"/>
      </c:bar3DChart>
      <c:catAx>
        <c:axId val="161695616"/>
        <c:scaling>
          <c:orientation val="minMax"/>
        </c:scaling>
        <c:axPos val="b"/>
        <c:majorTickMark val="none"/>
        <c:tickLblPos val="nextTo"/>
        <c:txPr>
          <a:bodyPr rot="-5400000" vert="horz" anchor="t" anchorCtr="1"/>
          <a:lstStyle/>
          <a:p>
            <a:pPr>
              <a:defRPr sz="900"/>
            </a:pPr>
            <a:endParaRPr lang="ru-RU"/>
          </a:p>
        </c:txPr>
        <c:crossAx val="161697152"/>
        <c:crosses val="autoZero"/>
        <c:auto val="1"/>
        <c:lblAlgn val="ctr"/>
        <c:lblOffset val="100"/>
      </c:catAx>
      <c:valAx>
        <c:axId val="161697152"/>
        <c:scaling>
          <c:orientation val="minMax"/>
        </c:scaling>
        <c:delete val="1"/>
        <c:axPos val="l"/>
        <c:numFmt formatCode="General" sourceLinked="1"/>
        <c:tickLblPos val="none"/>
        <c:crossAx val="16169561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dLbls>
            <c:delete val="1"/>
          </c:dLbls>
          <c:cat>
            <c:strRef>
              <c:f>'Вопрос 11'!$A$21:$A$38</c:f>
              <c:strCache>
                <c:ptCount val="18"/>
                <c:pt idx="0">
                  <c:v>Умение осуществлять мотивацию персонала</c:v>
                </c:pt>
                <c:pt idx="1">
                  <c:v>Умение управлять персоналом </c:v>
                </c:pt>
                <c:pt idx="2">
                  <c:v>Владение способами повышения профессиональной компетентности учителей </c:v>
                </c:pt>
                <c:pt idx="3">
                  <c:v>Знание современных образовательных технологий </c:v>
                </c:pt>
                <c:pt idx="4">
                  <c:v>Умение оценивать качества образования </c:v>
                </c:pt>
                <c:pt idx="5">
                  <c:v>Знание правовых основ управления школой, законодательства в области образования</c:v>
                </c:pt>
                <c:pt idx="6">
                  <c:v> Умение  организовать государственную итоговую аттестацию</c:v>
                </c:pt>
                <c:pt idx="7">
                  <c:v>Умение разрешать конфликты</c:v>
                </c:pt>
                <c:pt idx="8">
                  <c:v>Знание тенденций государственной политики в системе общего образования Российской Федерации </c:v>
                </c:pt>
                <c:pt idx="9">
                  <c:v>Владение информационно-коммуникационными технологиями</c:v>
                </c:pt>
                <c:pt idx="10">
                  <c:v>Знание экономико-финансовых основ управления современной школой, менеджмента </c:v>
                </c:pt>
                <c:pt idx="11">
                  <c:v>Умение  управлять проектами</c:v>
                </c:pt>
                <c:pt idx="12">
                  <c:v>Знание психологии и возрастной психологии</c:v>
                </c:pt>
                <c:pt idx="13">
                  <c:v>Знание педагогики </c:v>
                </c:pt>
                <c:pt idx="14">
                  <c:v>Лидерство в педагогическом коллективе </c:v>
                </c:pt>
                <c:pt idx="15">
                  <c:v>Владение способами организации финансово-хозяйственной деятельности образовательного учреждения</c:v>
                </c:pt>
                <c:pt idx="16">
                  <c:v>Умение разрабатывать программу развития школы </c:v>
                </c:pt>
                <c:pt idx="17">
                  <c:v>Знание основ гражданского, административного, трудового, бюджетного, налогового законодательства </c:v>
                </c:pt>
              </c:strCache>
            </c:strRef>
          </c:cat>
          <c:val>
            <c:numRef>
              <c:f>'Вопрос 11'!$B$21:$B$38</c:f>
              <c:numCache>
                <c:formatCode>General</c:formatCode>
                <c:ptCount val="18"/>
                <c:pt idx="0">
                  <c:v>38</c:v>
                </c:pt>
                <c:pt idx="1">
                  <c:v>29</c:v>
                </c:pt>
                <c:pt idx="2">
                  <c:v>28</c:v>
                </c:pt>
                <c:pt idx="3">
                  <c:v>26</c:v>
                </c:pt>
                <c:pt idx="4">
                  <c:v>25</c:v>
                </c:pt>
                <c:pt idx="5">
                  <c:v>20</c:v>
                </c:pt>
                <c:pt idx="6">
                  <c:v>18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</c:numCache>
            </c:numRef>
          </c:val>
        </c:ser>
        <c:dLbls>
          <c:showVal val="1"/>
        </c:dLbls>
        <c:shape val="box"/>
        <c:axId val="161751808"/>
        <c:axId val="161753344"/>
        <c:axId val="0"/>
      </c:bar3DChart>
      <c:catAx>
        <c:axId val="16175180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61753344"/>
        <c:crosses val="autoZero"/>
        <c:auto val="1"/>
        <c:lblAlgn val="ctr"/>
        <c:lblOffset val="100"/>
      </c:catAx>
      <c:valAx>
        <c:axId val="161753344"/>
        <c:scaling>
          <c:orientation val="minMax"/>
        </c:scaling>
        <c:delete val="1"/>
        <c:axPos val="l"/>
        <c:numFmt formatCode="General" sourceLinked="1"/>
        <c:tickLblPos val="none"/>
        <c:crossAx val="1617518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1</dc:creator>
  <cp:lastModifiedBy>Niro</cp:lastModifiedBy>
  <cp:revision>3</cp:revision>
  <dcterms:created xsi:type="dcterms:W3CDTF">2022-10-28T10:47:00Z</dcterms:created>
  <dcterms:modified xsi:type="dcterms:W3CDTF">2022-10-28T11:06:00Z</dcterms:modified>
</cp:coreProperties>
</file>